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86R1502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hiring of retired classroom teachers or retired education professionals to serve as mentor teachers.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21.458, Education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contract with a retired classroom teacher or a retired education professional to provide mentoring to teachers in the district under this section. </w:t>
      </w:r>
      <w:r>
        <w:rPr>
          <w:u w:val="single"/>
        </w:rPr>
        <w:t xml:space="preserve"> </w:t>
      </w:r>
      <w:r>
        <w:rPr>
          <w:u w:val="single"/>
        </w:rPr>
        <w:t xml:space="preserve">A mentor teacher hired under this subsection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Subsections(b)(1) and (2);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the qualifications required under Subsection (b)(3).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