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86R9374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positive behavior plans of school districts, development of positive behavior best practices by the Texas Education Agency, and reporting of disproportionate discretionary disciplinary action by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11, Education Code, is amended by adding Section 11.2521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11.2521.</w:t>
      </w:r>
      <w:r>
        <w:rPr>
          <w:u w:val="single"/>
        </w:rPr>
        <w:t xml:space="preserve"> </w:t>
      </w:r>
      <w:r>
        <w:rPr>
          <w:u w:val="single"/>
        </w:rPr>
        <w:t xml:space="preserve"> </w:t>
      </w:r>
      <w:r>
        <w:rPr>
          <w:u w:val="single"/>
        </w:rPr>
        <w:t xml:space="preserve">DISTRICT POSITIVE BEHAVIOR PLAN.  (a)  A school district may adopt a district positive behavior plan to promote learning, improve school safety, and identify strategies to support students in developing and exhibiting positive behavior. A positive behavior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measurable district performance objectives to determine if the district is successfully meeting goals established under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an age-appropriate and research-based approach to identify and support the behavioral needs of students;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developed with input from stakeholders, including school district employees, parents, students, and community members;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complement the individualized education plans of any district students receiving special education services under Subchapter A, Chapter 29;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evidence-based models for positive behavior;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alternative disciplinary courses of action that do not rely on the use of in-school suspension, out-of-school suspension, or placement in a disciplinary alternative education program to manage student behavior;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detail the use of exclusionary disciplinary actions, including in-school suspension, out-of-school suspension, or placement in a disciplinary alternative education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positive behavior management strategies,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positive behavioral intervention and support;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trauma-informed practices;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social and emotional learning;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referral for services, if necessary;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restorative practices;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include a list of resources necessary to implement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request of a school district, the agency shall provide a resource included on the positive behavior best practices list under Section 37.0017 to the district if the resource is included in the district's positive behavior plan.  The agency may not charge a district for any resource provided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plan adopted under this section satisfies a district's requirement to develop strategies to improve discipline management in the district improvement plan under Section 11.252.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37, Education Code, is amended by adding Section 37.0017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37.0017.</w:t>
      </w:r>
      <w:r>
        <w:rPr>
          <w:u w:val="single"/>
        </w:rPr>
        <w:t xml:space="preserve"> </w:t>
      </w:r>
      <w:r>
        <w:rPr>
          <w:u w:val="single"/>
        </w:rPr>
        <w:t xml:space="preserve"> </w:t>
      </w:r>
      <w:r>
        <w:rPr>
          <w:u w:val="single"/>
        </w:rPr>
        <w:t xml:space="preserve">POSITIVE BEHAVIOR BEST PRACTICES LIST.  (a)  The agency, in coordination with the Health and Human Services Commission, shall provide and annually update a list of recommended best practices relating to school discipline and models of positive behavior, including methods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schools do not take discretionary disciplinary action against a disproportionate number of students: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a particular race;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are enrolled in a special education program under Subchapter A, Chapter 29;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who receive accommodations or services under Section 504, Rehabilitation Act of 1973 (29 U.S.C. Section 794);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underlying causes of disruptive behaviors;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person-centered approaches to behavior management;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minimize the use of exclusionary disciplinary actions;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promote a positive school climate;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implement, and revise evidence-based behavior intervention plans;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improve the general health and safety of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list developed under Subsection (a) must also include training materials and other resources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positive behavioral intervention and support;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trauma-informed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social and emotional learning;</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promoting a positive school climate;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restorative practices.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list, the agency may collaborate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member organizations;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institutions of higher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School Safety Center;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education service centers;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Center for Elimination of Disproportionality and Disparities.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list developed under Subsection (a) must be posted on the agency's Internet website and on the Internet website of each regional education service center.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updating the list developed under Subsection (a), the agency shall incorporate data collected from school districts that have adopted positive behavior plans under Section 11.2521.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37, Education Code, is amended by adding Section 37.0201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37.0201.</w:t>
      </w:r>
      <w:r>
        <w:rPr>
          <w:u w:val="single"/>
        </w:rPr>
        <w:t xml:space="preserve"> </w:t>
      </w:r>
      <w:r>
        <w:rPr>
          <w:u w:val="single"/>
        </w:rPr>
        <w:t xml:space="preserve"> </w:t>
      </w:r>
      <w:r>
        <w:rPr>
          <w:u w:val="single"/>
        </w:rPr>
        <w:t xml:space="preserve">POSITIVE BEHAVIOR PLAN: DISPROPORTIONATE DISCRETIONARY DISCIPLINARY ACTION.  (a) </w:t>
      </w:r>
      <w:r>
        <w:rPr>
          <w:u w:val="single"/>
        </w:rPr>
        <w:t xml:space="preserve"> </w:t>
      </w:r>
      <w:r>
        <w:rPr>
          <w:u w:val="single"/>
        </w:rPr>
        <w:t xml:space="preserve">In this section, "discretionary disciplinary action" means any disciplinary action taken by a school district that is allowed but not required under this chapter or the district's student code of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evaluate information reported through the Public Education Information Management System (PEIMS) to determine whether a school district appears to be taking discretionary disciplinary action, including suspension, expulsion, placement in a disciplinary alternative education program or juvenile justice alternative education program, or any other disciplinary action reported through PEIMS, against a disproportionate number of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a particular race;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are enrolled in a special education program under Subchapter A, Chapter 29;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receive accommodations or services under Section 504, Rehabilitation Act of 1973 (29 U.S.C. Section 794).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determining that a school district is taking discretionary disciplinary action disproportionately,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district of the determination;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notification include information on the resources available to school districts through the positive behavior best practices list provided under Section 37.0017.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determined by the agency to be taking discretionary disciplinary action disproportionately for three consecutive years shall develop, adopt, and implement a positive behavior plan under Section 11.2521. </w:t>
      </w:r>
      <w:r>
        <w:rPr>
          <w:u w:val="single"/>
        </w:rPr>
        <w:t xml:space="preserve"> </w:t>
      </w:r>
      <w:r>
        <w:rPr>
          <w:u w:val="single"/>
        </w:rPr>
        <w:t xml:space="preserve">The district's plan must include strategies to reduce disproportionality in the application of discretionary disciplinary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