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86R9023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1563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identification and development of mental health resources for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Education Code, is amended by adding Subchapter F to read as follows:</w:t>
      </w:r>
    </w:p>
    <w:p w:rsidR="003F3435" w:rsidRDefault="0032493E">
      <w:pPr>
        <w:spacing w:line="480" w:lineRule="auto"/>
        <w:jc w:val="center"/>
      </w:pPr>
      <w:r>
        <w:rPr>
          <w:u w:val="single"/>
        </w:rPr>
        <w:t xml:space="preserve">SUBCHAPTER F.  MENTAL HEALTH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38.251.</w:t>
      </w:r>
      <w:r>
        <w:rPr>
          <w:u w:val="single"/>
        </w:rPr>
        <w:t xml:space="preserve"> </w:t>
      </w:r>
      <w:r>
        <w:rPr>
          <w:u w:val="single"/>
        </w:rPr>
        <w:t xml:space="preserve"> </w:t>
      </w:r>
      <w:r>
        <w:rPr>
          <w:u w:val="single"/>
        </w:rPr>
        <w:t xml:space="preserve">RUBRIC TO IDENTIFY RESOURCES.  (a) </w:t>
      </w:r>
      <w:r>
        <w:rPr>
          <w:u w:val="single"/>
        </w:rPr>
        <w:t xml:space="preserve"> </w:t>
      </w:r>
      <w:r>
        <w:rPr>
          <w:u w:val="single"/>
        </w:rPr>
        <w:t xml:space="preserve">The agency shall develop a rubric for use by regional education service centers in identifying resources related to student mental health that are available to schools in their respective regions.  The agency shall develop the rubric in conjunction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Family and Protective Services;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Juvenile Justice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Higher Education Coordinating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Workforce Commission;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state agency the agency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rubric developed by the agency must provide for the identification of resources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training and technical assistance on practices that support the mental health of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school-based programs that provide prevention or intervention services to students;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community-based programs that provide school-based or school-connected prevention or intervention services to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school-based mental health providers;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public and private funding sources available to address the mental health of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of each odd-numbered year, the agency shall revise the rubric as necessary to reflect changes in resources that may be available to schools and provide the rubric to each regional education service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38.252.</w:t>
      </w:r>
      <w:r>
        <w:rPr>
          <w:u w:val="single"/>
        </w:rPr>
        <w:t xml:space="preserve"> </w:t>
      </w:r>
      <w:r>
        <w:rPr>
          <w:u w:val="single"/>
        </w:rPr>
        <w:t xml:space="preserve"> </w:t>
      </w:r>
      <w:r>
        <w:rPr>
          <w:u w:val="single"/>
        </w:rPr>
        <w:t xml:space="preserve">REGIONAL INVENTORY OF MENTAL HEALTH RESOURCES.  (a) </w:t>
      </w:r>
      <w:r>
        <w:rPr>
          <w:u w:val="single"/>
        </w:rPr>
        <w:t xml:space="preserve"> </w:t>
      </w:r>
      <w:r>
        <w:rPr>
          <w:u w:val="single"/>
        </w:rPr>
        <w:t xml:space="preserve">Each regional education service center shall use the rubric developed under Section 38.251 to identify resources related to student mental health available to schools in the center's region, including evidence-based and promising programs and best practices,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school environments that support the social, emotional, and academic development of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students who may need additional behavioral or mental health support before issues arise;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early, effective interventions to students in need of additional support;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connect students and their families to specialized services in the school or community when needed;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 schools in aligning resources necessary to address the mental health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regional education service center may consult with any entity the center considers necessary in identifying resources under Subsection (a),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mental health authorities;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community mental health services providers;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education groups;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hospitals;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of each even-numbered year, each regional education service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revised rubric received from the agency under Section 38.251 to identify, in the manner provided by this section, any additional resources that may be available to schools in the center's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agency a report on resources identified through the process, including any additional resources identified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38.253.</w:t>
      </w:r>
      <w:r>
        <w:rPr>
          <w:u w:val="single"/>
        </w:rPr>
        <w:t xml:space="preserve"> </w:t>
      </w:r>
      <w:r>
        <w:rPr>
          <w:u w:val="single"/>
        </w:rPr>
        <w:t xml:space="preserve"> </w:t>
      </w:r>
      <w:r>
        <w:rPr>
          <w:u w:val="single"/>
        </w:rPr>
        <w:t xml:space="preserve">STATEWIDE INVENTORY OF MENTAL HEALTH RESOURCES.  (a)  The agency shall develop a list of statewide resources available to school districts to address the mental health of students,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training and technical assistance on practices that support the mental health of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school-based programs that provide prevention or intervention services to students;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community-based programs that provide school-based or school-connected prevention or intervention services to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school-based mental health providers;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public and private funding sources available to address the mental health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list required under Subsection (a), the agency shall collaborate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Juvenile Justice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Higher Education Coordinating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hospitals or other health care providers;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community service providers;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parent, educator, and advocacy groups;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entity the agency determines can assist the agency in compiling the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include on the list any resource available through an entity identified as a resource under Subsection (b), including an entity described by Subsection (b), that provides evidence-based and promising programs and best practices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school environments that support the social, emotional, and academic development of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students who may need additional behavioral or mental health support before issues arise;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early, effective interventions to students in need of additional support;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connect students and their families to specialized services in the school or community when needed.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revise the list not later than March 1 of each even-numbered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38.254.</w:t>
      </w:r>
      <w:r>
        <w:rPr>
          <w:u w:val="single"/>
        </w:rPr>
        <w:t xml:space="preserve"> </w:t>
      </w:r>
      <w:r>
        <w:rPr>
          <w:u w:val="single"/>
        </w:rPr>
        <w:t xml:space="preserve"> </w:t>
      </w:r>
      <w:r>
        <w:rPr>
          <w:u w:val="single"/>
        </w:rPr>
        <w:t xml:space="preserve">STATEWIDE PLAN FOR STUDENT MENTAL HEALTH.  (a)  The agency shall develop a statewide plan to ensure all students have access to adequate mental health resources. </w:t>
      </w:r>
      <w:r>
        <w:rPr>
          <w:u w:val="single"/>
        </w:rPr>
        <w:t xml:space="preserve"> </w:t>
      </w:r>
      <w:r>
        <w:rPr>
          <w:u w:val="single"/>
        </w:rPr>
        <w:t xml:space="preserve">The agency shall include in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any revisions made to the rubric required by Section 38.251;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results of the most recent regional inventory of mental health resources required by Section 38.252, including any additional resources identified;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the most recent statewide inventory of mental health resources required by Section 38.253, including any additional resources identified;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agency's goals for student mental health access to be applied across the state, including goals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methods to objectively measure positive school climate;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increasing the availability of early, effective school-based or school-connected mental health interventions and resources for students in need of additional support;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increasing the availability of referrals for students and families to specialized services for students in need of additional support outside the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actions the commissioner may take without legislative action to help all districts reach the agency's goals described by the plan;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recommendations to the legislature on methods to ensure that all districts can meet the agency's goals described in the plan through legislative appropriations or other action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agency's goals under Subsection (a)(4), the agency shall consult with any person the agency believes is necessary to the development of the goals,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mental health practitioners;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advocacy groups;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revise the plan not later than April 1 of each even-numbered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completing or revising the plan,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electronic copy of the plan to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the plan on the agency's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hold public meetings in each regional education service center's region to present the statewide plan and shall provide an opportunity for public comment at each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38.255.</w:t>
      </w:r>
      <w:r>
        <w:rPr>
          <w:u w:val="single"/>
        </w:rPr>
        <w:t xml:space="preserve"> </w:t>
      </w:r>
      <w:r>
        <w:rPr>
          <w:u w:val="single"/>
        </w:rPr>
        <w:t xml:space="preserve"> </w:t>
      </w:r>
      <w:r>
        <w:rPr>
          <w:u w:val="single"/>
        </w:rPr>
        <w:t xml:space="preserve">AGENCY USE OF STATEWIDE PLAN.  (a)  The agency shall use the statewide plan for student mental health required by Section 38.254 to develop and revise the agency's long-term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use the recommendations to the legislature required by Section 38.254(a)(6) to develop each agency legislative appropriations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38.256.</w:t>
      </w:r>
      <w:r>
        <w:rPr>
          <w:u w:val="single"/>
        </w:rPr>
        <w:t xml:space="preserve"> </w:t>
      </w:r>
      <w:r>
        <w:rPr>
          <w:u w:val="single"/>
        </w:rPr>
        <w:t xml:space="preserve"> </w:t>
      </w:r>
      <w:r>
        <w:rPr>
          <w:u w:val="single"/>
        </w:rPr>
        <w:t xml:space="preserve">REPORTS TO LEGISLATURE.  In addition to any other information required to be provided to the legislature under this chapter, not later than November 1 of each even-numbered year the agency shall provide to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any changes the agency has made to the rubric required by Section 38.251;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analysis of each region's progress toward meeting the agency's goals developed under Section 38.254.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2019, the Texas Education Agency shall develop and distribute to each regional education service center the rubric required by Section 38.251,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2020:</w:t>
      </w:r>
    </w:p>
    <w:p w:rsidR="003F3435" w:rsidRDefault="0032493E">
      <w:pPr>
        <w:spacing w:line="480" w:lineRule="auto"/>
        <w:ind w:firstLine="1440"/>
        <w:jc w:val="both"/>
      </w:pPr>
      <w:r>
        <w:t xml:space="preserve">(1)</w:t>
      </w:r>
      <w:r xml:space="preserve">
        <w:t> </w:t>
      </w:r>
      <w:r xml:space="preserve">
        <w:t> </w:t>
      </w:r>
      <w:r>
        <w:t xml:space="preserve">each regional education service center shall complete the regional inventory of mental health resources required by Section 38.252, Education Code, as added by this Act, and report to the Texas Education Agency on the resources identified through the inventory; and</w:t>
      </w:r>
    </w:p>
    <w:p w:rsidR="003F3435" w:rsidRDefault="0032493E">
      <w:pPr>
        <w:spacing w:line="480" w:lineRule="auto"/>
        <w:ind w:firstLine="1440"/>
        <w:jc w:val="both"/>
      </w:pPr>
      <w:r>
        <w:t xml:space="preserve">(2)</w:t>
      </w:r>
      <w:r xml:space="preserve">
        <w:t> </w:t>
      </w:r>
      <w:r xml:space="preserve">
        <w:t> </w:t>
      </w:r>
      <w:r>
        <w:t xml:space="preserve">the Texas Education Agency shall complete the statewide inventory of mental health resources required by Section 38.253, Education Code, as added by this Act, and develop a list of resources available to school districts statewide to address the mental health of students.</w:t>
      </w:r>
    </w:p>
    <w:p w:rsidR="003F3435" w:rsidRDefault="0032493E">
      <w:pPr>
        <w:spacing w:line="480" w:lineRule="auto"/>
        <w:ind w:firstLine="720"/>
        <w:jc w:val="both"/>
      </w:pPr>
      <w:r>
        <w:t xml:space="preserve">(c)</w:t>
      </w:r>
      <w:r xml:space="preserve">
        <w:t> </w:t>
      </w:r>
      <w:r xml:space="preserve">
        <w:t> </w:t>
      </w:r>
      <w:r>
        <w:t xml:space="preserve">Not later than April 1, 2020, the Texas Education Agency shall develop the statewide plan for student mental health required by Section 38.254, Education Code, as added by this Act, submit an electronic copy of the plan to the legislature, and post the plan on the agency's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