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medication-assisted treatment for opioid use disorder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"qualifying practitioner" has the meaning assigned by 21 U.S.C. Section 823(g)(2)(G)(iii).</w:t>
      </w:r>
    </w:p>
    <w:p w:rsidR="003F3435" w:rsidRDefault="0032493E">
      <w:pPr>
        <w:spacing w:line="480" w:lineRule="auto"/>
        <w:ind w:firstLine="720"/>
        <w:jc w:val="both"/>
      </w:pPr>
      <w:r>
        <w:t xml:space="preserve">(b)</w:t>
      </w:r>
      <w:r xml:space="preserve">
        <w:t> </w:t>
      </w:r>
      <w:r xml:space="preserve">
        <w:t> </w:t>
      </w:r>
      <w:r>
        <w:t xml:space="preserve">Not later than November 1, 2019, the Health and Human Services Commission shall amend the commission's Medicaid Substance Use Disorder Services Medical Policy and any other provider or claims payment policy or manual 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3F3435" w:rsidRDefault="0032493E">
      <w:pPr>
        <w:spacing w:line="480" w:lineRule="auto"/>
        <w:ind w:firstLine="1440"/>
        <w:jc w:val="both"/>
      </w:pPr>
      <w:r>
        <w:t xml:space="preserve">(1)</w:t>
      </w:r>
      <w:r xml:space="preserve">
        <w:t> </w:t>
      </w:r>
      <w:r xml:space="preserve">
        <w:t> </w:t>
      </w:r>
      <w:r>
        <w:t xml:space="preserve">is a qualifying practitioner; and</w:t>
      </w:r>
    </w:p>
    <w:p w:rsidR="003F3435" w:rsidRDefault="0032493E">
      <w:pPr>
        <w:spacing w:line="480" w:lineRule="auto"/>
        <w:ind w:firstLine="1440"/>
        <w:jc w:val="both"/>
      </w:pPr>
      <w:r>
        <w:t xml:space="preserve">(2)</w:t>
      </w:r>
      <w:r xml:space="preserve">
        <w:t> </w:t>
      </w:r>
      <w:r xml:space="preserve">
        <w:t> </w:t>
      </w:r>
      <w:r>
        <w:t xml:space="preserve">has obtained a waiver from registration requirements as provided by 21 U.S.C. Section 823(g).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