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86R13561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1568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organized election fraud activity; imposing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276, Election Code, is amended by adding Section 276.012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276.012.</w:t>
      </w:r>
      <w:r>
        <w:rPr>
          <w:u w:val="single"/>
        </w:rPr>
        <w:t xml:space="preserve"> </w:t>
      </w:r>
      <w:r>
        <w:rPr>
          <w:u w:val="single"/>
        </w:rPr>
        <w:t xml:space="preserve"> </w:t>
      </w:r>
      <w:r>
        <w:rPr>
          <w:u w:val="single"/>
        </w:rPr>
        <w:t xml:space="preserve">LIABILITY FOR ENGAGING IN ORGANIZED ELECTION FRAUD ACTIVITY.  (a)  In this section, "organized election fraud activity" means an offense under Section 276.011(a).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engages in organized election fraud activity in connection with an election in this state is liable to the state for civil penalties in an action by the attorney general as provided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 action under this section, the attorney general or person bringing the action must establish each element of the action by a preponderance of the evidence.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not a defense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defendant is not criminally responsible for an offense committed in furtherance of the organized election fraud activity;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alleged participant in the organized election fraud activity has been acquitted.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all actions under this section, the state shall be awarded a civil penalty of $1,000 for each offense committed under Titles 1 through 7 in the course of committing organized election fraud activity.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cause of action created by this section is cumulative of any other remedy provided by common law or statute.</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found liable under this section or other law for any amount of damages arising from organized election fraud activity is jointly liable with any other defendant for the entire amount of damages arising from the activity.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civil action or proceeding under this section against any person may be brought in the county where any part of the organized election fraud activity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under Section 276.011(a), Election Code,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