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86R33861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1572</w:t>
      </w:r>
    </w:p>
    <w:p w:rsidR="003F3435" w:rsidRDefault="0032493E">
      <w:pPr>
        <w:ind w:firstLine="720"/>
        <w:jc w:val="both"/>
      </w:pPr>
      <w:r>
        <w:t xml:space="preserve">(Button)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1572:</w:t>
      </w: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C.S.S.B.</w:t>
      </w:r>
      <w:r xml:space="preserve">
        <w:t> </w:t>
      </w:r>
      <w:r>
        <w:t xml:space="preserve">No.</w:t>
      </w:r>
      <w:r xml:space="preserve">
        <w:t> </w:t>
      </w:r>
      <w:r>
        <w:t xml:space="preserve">1572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registration of vacant buildings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214.233, Local Government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municipality located in a county that has a population of more than 285,000 and less than 300,000 and borders the Gulf of Mexico may adopt an ordinance that allows but does not require owners of vacant buildings to register their buildings by filing a registration form with a designated municipal official. </w:t>
      </w:r>
      <w:r>
        <w:rPr>
          <w:u w:val="single"/>
        </w:rPr>
        <w:t xml:space="preserve"> </w:t>
      </w:r>
      <w:r>
        <w:rPr>
          <w:u w:val="single"/>
        </w:rPr>
        <w:t xml:space="preserve">A municipality that adopts an ordinance under this subsection may not place a lien on a property solely because the property is registered under this subsection.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 may not be construed to grant a municipality authority other than the authority to adopt an ordinance described by that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