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2;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municipal registration of vacant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214.233(a),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municipality [</w:t>
      </w:r>
      <w:r>
        <w:rPr>
          <w:strike/>
        </w:rPr>
        <w:t xml:space="preserve">located in a county with a population of two million or more</w:t>
      </w:r>
      <w:r>
        <w:t xml:space="preserve">] may adopt an ordinance requiring owners of vacant buildings to register their buildings by filing a registration form with a designated municipal official.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