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1575</w:t>
      </w:r>
    </w:p>
    <w:p w:rsidR="003F3435" w:rsidRDefault="0032493E">
      <w:pPr>
        <w:ind w:firstLine="720"/>
        <w:jc w:val="both"/>
      </w:pPr>
      <w:r>
        <w:t xml:space="preserve">(Krause)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governmental immunity for and adjudication of claims arising from a local governmental entity's disaster recovery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5, Civil Practice and Remedies Code, is amended by adding Chapter 115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115.  MUNICIPAL LIABILITY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115.0001.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RECOVERY AS GOVERNMENTAL FUNCTION.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performs a governmental function if, after a declaration of a disaster under Section 418.014, Government Code, the municipality enters into a contract for a purpose related to disaster recovery or takes an action under that contract.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has governmental immunity to suit and from liability for a cause of action arising from a governmental function described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271, Local Government Code, is amended by adding Section 271.1515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271.1515.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This subchapter does not apply to a contract with a local governmental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arises from a declaration of a disaster under Section 418.014,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primarily spends state or federal funds on goods and services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 private citizens or private property located in the entity in recovering from the disaster;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 not benefit the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115.0001, Civil Practice and Remedies Code, as added by this Act, and Section 271.1515, Local Government Code, as added by this Act, apply only to a contract entered into or action taken under the contract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