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86R12783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investigation and proceeding information by the State Commission on Judicial 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33.036,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protect the public interest, the commission may disclose information relating to an investigation or proceeding under this chapter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law enforcement agency;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public official who is authorized or required by law to appoint a person to serve as a judge;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supreme court;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entity that provides commission-ordered education to judges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Bar of Texas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Bar of Texas may use information disclosed to the state bar under this section only to investigate and dispose of a complaint as provided by Subchapter E, Chapter 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