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1584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satisfaction of continuing education requirements for certain insurance adjusters.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4101, Insurance Code, is amended by adding Section 4101.062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4101.062.</w:t>
      </w:r>
      <w:r>
        <w:rPr>
          <w:u w:val="single"/>
        </w:rPr>
        <w:t xml:space="preserve"> </w:t>
      </w:r>
      <w:r>
        <w:rPr>
          <w:u w:val="single"/>
        </w:rPr>
        <w:t xml:space="preserve"> </w:t>
      </w:r>
      <w:r>
        <w:rPr>
          <w:u w:val="single"/>
        </w:rPr>
        <w:t xml:space="preserve">ALTERNATIVE CONTINUING EDUCATION: </w:t>
      </w:r>
      <w:r>
        <w:rPr>
          <w:u w:val="single"/>
        </w:rPr>
        <w:t xml:space="preserve"> </w:t>
      </w:r>
      <w:r>
        <w:rPr>
          <w:u w:val="single"/>
        </w:rPr>
        <w:t xml:space="preserve">CLAIMS CERTIFICATION.  Notwithstanding Section 4004.051, the department shall accept as satisfaction of any continuing education requirement imposed on an adjuster under this chapter or Chapter 4004 a claims certification that the adjuster receives during a license period for which the continuing education is required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certification is issued by a national or state claims association with a certification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required to complete the certification program is not less than the number of hours of continuing education that an adjuster is required to complete during the license period under Sections 4004.053 and 4004.054;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content of the certification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the content required under Section 4004.105;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made available through an electronic portal maintained by the association for review and audit by the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is approved by the department as a continuing education provider;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association reports the adjuster's completion of the certification program to the department through an electronic portal maintained by the department;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association, through an electronic portal maintained by the association, provides the department access to the adjuster's transcript showing the adjuster's completion of the certification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Section 4101.062, Insurance Code, as added by this Act, applies to continuing education requirements for an insurance adjuster's license period beginning on or after January 1, 2020.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