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1592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an appraisal district to use public money for lobbying activity.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305.026, Government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any other provision of this section, an appraisal district may not use public money to directly or indirectly influence or attempt to influence the passage or defeat of any legislation pending before the legislature. </w:t>
      </w:r>
      <w:r>
        <w:rPr>
          <w:u w:val="single"/>
        </w:rPr>
        <w:t xml:space="preserve"> </w:t>
      </w:r>
      <w:r>
        <w:rPr>
          <w:u w:val="single"/>
        </w:rPr>
        <w:t xml:space="preserve">This subsection does not prevent an appraisal district employee from providing information for a member of the legislature or appearing before a legislative committee at the request of the committee or the member of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