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86R14020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1609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precedence of election contests in district and appellate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231.009, Election Code, is amended to read as follows:</w:t>
      </w:r>
    </w:p>
    <w:p w:rsidR="003F3435" w:rsidRDefault="0032493E">
      <w:pPr>
        <w:spacing w:line="480" w:lineRule="auto"/>
        <w:ind w:firstLine="720"/>
        <w:jc w:val="both"/>
      </w:pPr>
      <w:r>
        <w:t xml:space="preserve">Sec.</w:t>
      </w:r>
      <w:r xml:space="preserve">
        <w:t> </w:t>
      </w:r>
      <w:r>
        <w:t xml:space="preserve">231.009.</w:t>
      </w:r>
      <w:r xml:space="preserve">
        <w:t> </w:t>
      </w:r>
      <w:r xml:space="preserve">
        <w:t> </w:t>
      </w:r>
      <w:r>
        <w:t xml:space="preserve">PRECEDENCE OF </w:t>
      </w:r>
      <w:r>
        <w:rPr>
          <w:u w:val="single"/>
        </w:rPr>
        <w:t xml:space="preserve">ELECTION</w:t>
      </w:r>
      <w:r>
        <w:t xml:space="preserve"> CONTEST [</w:t>
      </w:r>
      <w:r>
        <w:rPr>
          <w:strike/>
        </w:rPr>
        <w:t xml:space="preserve">ON APPEAL</w:t>
      </w:r>
      <w:r>
        <w:t xml:space="preserve">].  An election contest has precedence in the </w:t>
      </w:r>
      <w:r>
        <w:rPr>
          <w:u w:val="single"/>
        </w:rPr>
        <w:t xml:space="preserve">district and</w:t>
      </w:r>
      <w:r>
        <w:t xml:space="preserve"> appellate courts and shall be disposed of as expeditiously as practicable. </w:t>
      </w:r>
      <w:r>
        <w:rPr>
          <w:u w:val="single"/>
        </w:rPr>
        <w:t xml:space="preserve">A court must to the extent reasonably possible ensure that the action is brought to final disposition before the expiration of the term of the contested office.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election contest filed on or after the effective date of this Act. An election contest filed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