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86R11380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turnout requirements for certain elections authorizing the issuance of bonds or an increase in taxes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TURNOUT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APPLICABILITY.  This subchapter does not apply to an election held on the November uniform election date of an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POLITICAL SUBDIVISION BOND OR TAX ELECTION.  An election held by a political subdivision to authorize the issuance of bonds or a tax increase has no effect regarding the issuance of the bonds or the tax increase unless more than 25 percent of the registered voters of the political subdivision in which the election is held whose registrations are effective on the date of the election vote in the election in which the bond or tax proposition is on the ballot.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bonds authorized to be issued or a tax increase authorized on or after the effective date of this Act.  Bonds or a tax increase authorized before the effective date of this Act are governed by the law in effect when the bonds were authorized,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