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1613</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6,</w:t>
      </w:r>
      <w:r xml:space="preserve">
        <w:t> </w:t>
      </w:r>
      <w:r>
        <w:t xml:space="preserve">2019; March</w:t>
      </w:r>
      <w:r xml:space="preserve">
        <w:t> </w:t>
      </w:r>
      <w:r>
        <w:t xml:space="preserve">14,</w:t>
      </w:r>
      <w:r xml:space="preserve">
        <w:t> </w:t>
      </w:r>
      <w:r>
        <w:t xml:space="preserve">2019, read first time and referred to Committee on Property Tax; May</w:t>
      </w:r>
      <w:r xml:space="preserve">
        <w:t> </w:t>
      </w:r>
      <w:r>
        <w:t xml:space="preserve">6,</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4, Nays</w:t>
      </w:r>
      <w:r xml:space="preserve">
        <w:t> </w:t>
      </w:r>
      <w:r>
        <w:t xml:space="preserve">1; May</w:t>
      </w:r>
      <w:r xml:space="preserve">
        <w:t> </w:t>
      </w:r>
      <w:r>
        <w:t xml:space="preserve">6,</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1613</w:t>
      </w:r>
      <w:r xml:space="preserve">
        <w:tab wTab="150" tlc="none" cTlc="0"/>
      </w:r>
      <w:r>
        <w:t xml:space="preserve">By:</w:t>
      </w:r>
      <w:r xml:space="preserve">
        <w:t> </w:t>
      </w:r>
      <w:r xml:space="preserve">
        <w:t> </w:t>
      </w:r>
      <w:r>
        <w:t xml:space="preserve">Paxton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turnout requirements for certain elections authorizing the issuance of bonds or an increase in taxes by a political subdivision.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2, Election Code, is amended to read as follows:</w:t>
      </w:r>
    </w:p>
    <w:p w:rsidR="003F3435" w:rsidRDefault="0032493E">
      <w:pPr>
        <w:spacing w:line="480" w:lineRule="auto"/>
        <w:jc w:val="center"/>
      </w:pPr>
      <w:r>
        <w:t xml:space="preserve">CHAPTER 2. </w:t>
      </w:r>
      <w:r>
        <w:t xml:space="preserve"> </w:t>
      </w:r>
      <w:r>
        <w:t xml:space="preserve">VOTE REQUIRED FOR ELECTION [</w:t>
      </w:r>
      <w:r>
        <w:rPr>
          <w:strike/>
        </w:rPr>
        <w:t xml:space="preserve">TO OFFICE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 Election Code, is amended by adding Subchapter E to read as follows:</w:t>
      </w:r>
    </w:p>
    <w:p w:rsidR="003F3435" w:rsidRDefault="0032493E">
      <w:pPr>
        <w:spacing w:line="480" w:lineRule="auto"/>
        <w:jc w:val="center"/>
      </w:pPr>
      <w:r>
        <w:rPr>
          <w:u w:val="single"/>
        </w:rPr>
        <w:t xml:space="preserve">SUBCHAPTER E.  TURNOUT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w:t>
      </w:r>
      <w:r>
        <w:rPr>
          <w:u w:val="single"/>
        </w:rPr>
        <w:t xml:space="preserve"> </w:t>
      </w:r>
      <w:r>
        <w:rPr>
          <w:u w:val="single"/>
        </w:rPr>
        <w:t xml:space="preserve"> </w:t>
      </w:r>
      <w:r>
        <w:rPr>
          <w:u w:val="single"/>
        </w:rPr>
        <w:t xml:space="preserve">APPLICABILITY.  This subchapter does not apply to an election held on the November uniform election date of an even-numbered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2.102.</w:t>
      </w:r>
      <w:r>
        <w:rPr>
          <w:u w:val="single"/>
        </w:rPr>
        <w:t xml:space="preserve"> </w:t>
      </w:r>
      <w:r>
        <w:rPr>
          <w:u w:val="single"/>
        </w:rPr>
        <w:t xml:space="preserve"> </w:t>
      </w:r>
      <w:r>
        <w:rPr>
          <w:u w:val="single"/>
        </w:rPr>
        <w:t xml:space="preserve">POLITICAL SUBDIVISION BOND OR TAX ELECTION.  An election held by a political subdivision to authorize the issuance of bonds or a tax increase has no effect regarding the issuance of the bonds or the tax increase unless more than 15 percent of the registered voters of the political subdivision in which the election is held whose registrations are effective on the date of the election vote in the election in which the bond or tax proposition is on the ballot.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bonds authorized to be issued or a tax increase authorized on or after the effective date of this Act.  Bonds or a tax increase authorized before the effective date of this Act are governed by the law in effect when the bonds were authorized,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