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86R10352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and recording of information on the use of money by certain public entities for lobbying activities;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556.010.</w:t>
      </w:r>
      <w:r>
        <w:rPr>
          <w:u w:val="single"/>
        </w:rPr>
        <w:t xml:space="preserve"> </w:t>
      </w:r>
      <w:r>
        <w:rPr>
          <w:u w:val="single"/>
        </w:rPr>
        <w:t xml:space="preserve"> </w:t>
      </w:r>
      <w:r>
        <w:rPr>
          <w:u w:val="single"/>
        </w:rPr>
        <w:t xml:space="preserve">DISCLOSURE AND RECORDING OF INFORMATION ON USE OF MONEY FOR LOBBYING ACTIVITIES.  (a)  This section applies to a public entity, including a political subdivision or a state agency, that receives public money or revenue from this state through an appropriation or other means.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a public entity must prepare and submit to the Texas Ethics Commission and post on the entity's Internet website a written report that discloses: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spent by the entity during the preceding year to directly or indirectly influence or attempt to influence the outcome of legislation;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required to register as a lobbyist under Chapter 305 who was compensated by the entity during the preceding year to directly or indirectly influence or attempt to influence the outcome of legislation;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name of any organization for which the person described by Subdivision (2) is employed;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line item in the entity's budget that indicates the amount of money spent by the entity to compensate a person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spending money to directly or indirectly influence or attempt to influence the outcome of legislation, the governing body of a public entity shall vote by line item on whether to spend the money.  The results of a vote held in accordance with this subsection must be included in the minutes of the meeting at which the vote was held along with,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authorized to be spent;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required to register as a lobbyist under Chapter 305 whom the entity plans to compensate as a result of the vote to directly or indirectly influence or attempt to influence the outcome of legislation;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any organization for which the person described by Subdivision (2) is employed.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designated by a public entity commits an offense by failing to disclose or record information on the use of money to directly or indirectly influence or attempt to influence the outcome of legislation as required by this section.  An offense under this subsection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offense, a misdemeanor punishable by a fine of not more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offense, a misdemeanor punishable by a fine of not less than $100 and not more than $500;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and any subsequent offense,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556.010, Government Code, as added by this Act, applies to the use of money to directly or indirectly influence or attempt to influence the outcome of legislation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