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property for certain ad valorem tax incentives if certain renewable energy devices are installed or constructed on the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312, Tax Code, is amended by adding Section 312.0022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312.0022.</w:t>
      </w:r>
      <w:r>
        <w:rPr>
          <w:u w:val="single"/>
        </w:rPr>
        <w:t xml:space="preserve"> </w:t>
      </w:r>
      <w:r>
        <w:rPr>
          <w:u w:val="single"/>
        </w:rPr>
        <w:t xml:space="preserve"> </w:t>
      </w:r>
      <w:r>
        <w:rPr>
          <w:u w:val="single"/>
        </w:rPr>
        <w:t xml:space="preserve">PROHIBITION ON ABATEMENT OF TAXES ON PROPERTY WITH CERTAIN RENEWABLE ENERGY DEVICES INSTALLED OR CONSTRUCTED.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"Solar energy device" has the meaning assigned by Section 11.27.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"Wind-powered energy device" has the meaning assigned by Section 11.27.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an owner or lessee of a parcel of real property that is located wholly or partly in a reinvestment zone may not receive an exemption from taxation of any portion of the value of the parcel of real property or of tangible personal property located on the parcel of real property under a tax abatement agreement under this chapter that is entered into on or after September 1, 2019, if, on or after that date, a solar energy device or wind-powered energy device is installed or constructed on the same parcel of real property. </w:t>
      </w:r>
      <w:r>
        <w:rPr>
          <w:u w:val="single"/>
        </w:rPr>
        <w:t xml:space="preserve"> </w:t>
      </w:r>
      <w:r>
        <w:rPr>
          <w:u w:val="single"/>
        </w:rPr>
        <w:t xml:space="preserve">The prohibition provided by this section applies regardless of whether the solar energy device or wind-powered energy device is installed or constructed at a location that is in the reinvestment zone.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313.024(b), Tax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for a limitation on appraised value under this subchapter, the entity must use the property for:</w:t>
      </w:r>
    </w:p>
    <w:p w:rsidR="003F3435" w:rsidRDefault="0032493E">
      <w:pPr>
        <w:spacing w:line="480" w:lineRule="auto"/>
        <w:ind w:firstLine="1440"/>
        <w:jc w:val="both"/>
      </w:pPr>
      <w:r>
        <w:t xml:space="preserve">(1)</w:t>
      </w:r>
      <w:r xml:space="preserve">
        <w:t> </w:t>
      </w:r>
      <w:r xml:space="preserve">
        <w:t> </w:t>
      </w:r>
      <w:r>
        <w:t xml:space="preserve">manufacturing;</w:t>
      </w:r>
    </w:p>
    <w:p w:rsidR="003F3435" w:rsidRDefault="0032493E">
      <w:pPr>
        <w:spacing w:line="480" w:lineRule="auto"/>
        <w:ind w:firstLine="1440"/>
        <w:jc w:val="both"/>
      </w:pPr>
      <w:r>
        <w:t xml:space="preserve">(2)</w:t>
      </w:r>
      <w:r xml:space="preserve">
        <w:t> </w:t>
      </w:r>
      <w:r xml:space="preserve">
        <w:t> </w:t>
      </w:r>
      <w:r>
        <w:t xml:space="preserve">research and development;</w:t>
      </w:r>
    </w:p>
    <w:p w:rsidR="003F3435" w:rsidRDefault="0032493E">
      <w:pPr>
        <w:spacing w:line="480" w:lineRule="auto"/>
        <w:ind w:firstLine="1440"/>
        <w:jc w:val="both"/>
      </w:pPr>
      <w:r>
        <w:t xml:space="preserve">(3)</w:t>
      </w:r>
      <w:r xml:space="preserve">
        <w:t> </w:t>
      </w:r>
      <w:r xml:space="preserve">
        <w:t> </w:t>
      </w:r>
      <w:r>
        <w:t xml:space="preserve">a clean coal project, as defined by Section 5.001, Water Code;</w:t>
      </w:r>
    </w:p>
    <w:p w:rsidR="003F3435" w:rsidRDefault="0032493E">
      <w:pPr>
        <w:spacing w:line="480" w:lineRule="auto"/>
        <w:ind w:firstLine="1440"/>
        <w:jc w:val="both"/>
      </w:pPr>
      <w:r>
        <w:t xml:space="preserve">(4)</w:t>
      </w:r>
      <w:r xml:space="preserve">
        <w:t> </w:t>
      </w:r>
      <w:r xml:space="preserve">
        <w:t> </w:t>
      </w:r>
      <w:r>
        <w:t xml:space="preserve">an advanced clean energy project, as defined by Section 382.003, Health and Safety Code;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renewable energy electric generation;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electric power generation using integrated gasification combined cycle technology;</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nuclear electric power generation;</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computer center primarily used in connection with one or more activities described by Subdivisions (1) through </w:t>
      </w:r>
      <w:r>
        <w:rPr>
          <w:u w:val="single"/>
        </w:rPr>
        <w:t xml:space="preserve">(6)</w:t>
      </w:r>
      <w:r>
        <w:t xml:space="preserve"> [</w:t>
      </w:r>
      <w:r>
        <w:rPr>
          <w:strike/>
        </w:rPr>
        <w:t xml:space="preserve">(7)</w:t>
      </w:r>
      <w:r>
        <w:t xml:space="preserve">] conducted by the entity;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Texas priority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313.024(e)(2),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agreement entered into under Chapter 313, Tax Code, on or after the effective date of this Act. </w:t>
      </w:r>
      <w:r>
        <w:t xml:space="preserve"> </w:t>
      </w:r>
      <w:r>
        <w:t xml:space="preserve">An agreement entered into under that chapter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