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86R10604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procedures for complaints received by the Texas Ethics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571.025,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571.025.</w:t>
      </w:r>
      <w:r xml:space="preserve">
        <w:t> </w:t>
      </w:r>
      <w:r xml:space="preserve">
        <w:t> </w:t>
      </w:r>
      <w:r>
        <w:t xml:space="preserve">MEETINGS.  The commission shall meet at least once each calendar quarter and at other times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 the call of the presiding officer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necessary to take an action required during a proceeding under Subchapter E within the time prescribed by that subchapter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571.124(e),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executive director determines that the commission has jurisdiction, the notice under Section 571.123(b)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that the commission has jurisdiction over the violation of law alleged in the complaint;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statement of whether the complaint will be processed as a Category One violation or a Category Two violation, subject to reconsideration as provided for by Section 571.1212;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date by which the respondent is required to respond to the notice;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 copy of the complaint and the rules of procedure of 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a statement of the rights of the respondent;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a statement inviting the respondent to provide to the commission any information relevant to the complaint;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a statement that a failure to timely respond to the notice will be treated as a separate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571.1242, Government Code, is amended by amending Subsections (a) and (d) and adding Subsections (a-1), (b-1),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If the alleged violation is a Category One violation: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</w:t>
      </w:r>
      <w:r>
        <w:t xml:space="preserve">] respondent must respond to the notice required by Section 571.123(b) not later than the 10th business day after the date the respondent receives the notice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</w:t>
      </w:r>
      <w:r>
        <w:t xml:space="preserve">] matter </w:t>
      </w:r>
      <w:r>
        <w:rPr>
          <w:u w:val="single"/>
        </w:rPr>
        <w:t xml:space="preserve">that</w:t>
      </w:r>
      <w:r>
        <w:t xml:space="preserve"> is not resolved by agreement between the commission and the respondent [</w:t>
      </w:r>
      <w:r>
        <w:rPr>
          <w:strike/>
        </w:rPr>
        <w:t xml:space="preserve">before the 30th business day after the date the respondent receives the notice under Section 571.123(b), the commission</w:t>
      </w:r>
      <w:r>
        <w:t xml:space="preserve">] shall </w:t>
      </w:r>
      <w:r>
        <w:rPr>
          <w:u w:val="single"/>
        </w:rPr>
        <w:t xml:space="preserve">be</w:t>
      </w:r>
      <w:r>
        <w:t xml:space="preserve"> set [</w:t>
      </w:r>
      <w:r>
        <w:rPr>
          <w:strike/>
        </w:rPr>
        <w:t xml:space="preserve">the matter</w:t>
      </w:r>
      <w:r>
        <w:t xml:space="preserve">] for a preliminary review hearing to be held at the next commission meeting for which notice has not yet been posted.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business day after the date the commission receives a response under Subsection (a), the commission shall send notice of the commission's decision: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dismiss the complaint;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hold a preliminary hearing and the date of the hearing.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under Subsection (b-1) may not set a preliminary hearing date later than the 30th business day after the date that the commission sends the notice to the respondent. </w:t>
      </w:r>
      <w:r>
        <w:rPr>
          <w:u w:val="single"/>
        </w:rPr>
        <w:t xml:space="preserve"> </w:t>
      </w:r>
      <w:r>
        <w:rPr>
          <w:u w:val="single"/>
        </w:rPr>
        <w:t xml:space="preserve">On request of the respondent, the commission may delay the hearing date up to 60 business days after the date provided in the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response required by Subsection (a) [</w:t>
      </w:r>
      <w:r>
        <w:rPr>
          <w:strike/>
        </w:rPr>
        <w:t xml:space="preserve">or (b)</w:t>
      </w:r>
      <w:r>
        <w:t xml:space="preserve">] must include any challenge the respondent seeks to raise to the commission's exercise of jurisdiction. </w:t>
      </w:r>
      <w:r>
        <w:t xml:space="preserve"> </w:t>
      </w:r>
      <w:r>
        <w:t xml:space="preserve">In addition, the respondent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acknowledge the occurrence or commission of a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deny the allegations contained in the complaint and provide evidence supporting the denial;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agree to enter into an assurance of voluntary compliance or other agreed order, which may include an agreement to immediately cease and desist.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571.126, Government Code, is amended by amending Subsections (b), (c), and (d)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commission determines that there is credible evidence for the commission to determine that a violation has occurred, the commission shall resolve and settle the complaint or motion to the extent possible. </w:t>
      </w:r>
      <w:r>
        <w:t xml:space="preserve"> </w:t>
      </w:r>
      <w:r>
        <w:t xml:space="preserve">If the commission successfully resolves and settles the complaint or motion, not later than the </w:t>
      </w:r>
      <w:r>
        <w:rPr>
          <w:u w:val="single"/>
        </w:rPr>
        <w:t xml:space="preserve">10th</w:t>
      </w:r>
      <w:r>
        <w:t xml:space="preserve"> [</w:t>
      </w:r>
      <w:r>
        <w:rPr>
          <w:strike/>
        </w:rPr>
        <w:t xml:space="preserve">fifth</w:t>
      </w:r>
      <w:r>
        <w:t xml:space="preserve">] business day after the date of the final resolution of the complaint or motion, the commission shall send to the complainant, if any, and the respondent a copy of the decision stating the commission's determination and written notice of the resolution and the terms of the resolution. </w:t>
      </w:r>
      <w:r>
        <w:t xml:space="preserve"> </w:t>
      </w:r>
      <w:r>
        <w:t xml:space="preserve">If the commission is unsuccessful in resolving and settling the complaint or motion,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order a formal hearing to be held in accordance with Sections 571.129 through 571.132;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 later than the </w:t>
      </w:r>
      <w:r>
        <w:rPr>
          <w:u w:val="single"/>
        </w:rPr>
        <w:t xml:space="preserve">10th</w:t>
      </w:r>
      <w:r>
        <w:t xml:space="preserve"> [</w:t>
      </w:r>
      <w:r>
        <w:rPr>
          <w:strike/>
        </w:rPr>
        <w:t xml:space="preserve">fifth</w:t>
      </w:r>
      <w:r>
        <w:t xml:space="preserve">] business day after the date of the decision, send to the complainant, if any, and the respondent: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the decision;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written notice of the date, time, and place of the formal hearing;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statement of the nature of the alleged violation;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description of the evidence of the alleged violation;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copy of the complaint or motion;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copy of the commission's rules of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statement of the rights of the respondent.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commission determines that there is credible evidence for the commission to determine that a violation within the jurisdiction of the commission has not occurred,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dismiss the complaint or motion;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 later than the </w:t>
      </w:r>
      <w:r>
        <w:rPr>
          <w:u w:val="single"/>
        </w:rPr>
        <w:t xml:space="preserve">10th</w:t>
      </w:r>
      <w:r>
        <w:t xml:space="preserve"> [</w:t>
      </w:r>
      <w:r>
        <w:rPr>
          <w:strike/>
        </w:rPr>
        <w:t xml:space="preserve">fifth</w:t>
      </w:r>
      <w:r>
        <w:t xml:space="preserve">] business day after the date of the dismissal, send to the complainant, if any, and the respondent a copy of the decision stating the commission's determination and written notice of the dismissal and the grounds for dismissal.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the commission determines that there is insufficient credible evidence for the commission to determine that a violation within the jurisdiction of the commission has occurred, the commission may dismiss the complaint or motion or promptly conduct a formal hearing under Sections 571.129 through 571.132. </w:t>
      </w:r>
      <w:r>
        <w:t xml:space="preserve"> </w:t>
      </w:r>
      <w:r>
        <w:t xml:space="preserve">Not later than the </w:t>
      </w:r>
      <w:r>
        <w:rPr>
          <w:u w:val="single"/>
        </w:rPr>
        <w:t xml:space="preserve">10th</w:t>
      </w:r>
      <w:r>
        <w:t xml:space="preserve"> [</w:t>
      </w:r>
      <w:r>
        <w:rPr>
          <w:strike/>
        </w:rPr>
        <w:t xml:space="preserve">fifth</w:t>
      </w:r>
      <w:r>
        <w:t xml:space="preserve">] business day after the date of the commission's determination under this subsection, the commission shall send to the complainant, if any, and the respondent a copy of the decision stating the commission's determination and written notice of the grounds for the determination.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under Subsection (b) or (d) may not set a formal hearing date later than the 30th business day after the date that the commission sends the notice to the respondent. </w:t>
      </w:r>
      <w:r>
        <w:rPr>
          <w:u w:val="single"/>
        </w:rPr>
        <w:t xml:space="preserve"> </w:t>
      </w:r>
      <w:r>
        <w:rPr>
          <w:u w:val="single"/>
        </w:rPr>
        <w:t xml:space="preserve">On request of the respondent, the commission may delay the hearing date up to 60 business days after the date provided in the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571.132(a),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the </w:t>
      </w:r>
      <w:r>
        <w:rPr>
          <w:u w:val="single"/>
        </w:rPr>
        <w:t xml:space="preserve">25th</w:t>
      </w:r>
      <w:r>
        <w:t xml:space="preserve"> [</w:t>
      </w:r>
      <w:r>
        <w:rPr>
          <w:strike/>
        </w:rPr>
        <w:t xml:space="preserve">30th</w:t>
      </w:r>
      <w:r>
        <w:t xml:space="preserve">] business day after the date the State Office of Administrative Hearings issues a proposal for decision, the commission shall convene a meeting and by motion shall issue: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final decision stating the resolution of the formal hearing;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written report stating in detail the commission's findings of fact, conclusions of law, and recommendation of criminal referral or imposition of a civil penalty, if 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571, Government Code, is amended by adding Section 571.143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571.143.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FOR COSTS OF FRIVOLOUS COMPLAINTS.  The commission is liable for the respondent's reasonable and necessary attorney's fees and other costs incurred in defending against the complaint if, after a formal hearing, the commission determines that the complaint was frivolous.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sections of the Government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571.1211(2) and 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571.1212;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Sections 571.1242(b) and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