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86R13354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rural hospitals and similar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531, Government Code, is amended by adding Subchapter G to read as follows:</w:t>
      </w:r>
    </w:p>
    <w:p w:rsidR="003F3435" w:rsidRDefault="0032493E">
      <w:pPr>
        <w:spacing w:line="480" w:lineRule="auto"/>
        <w:jc w:val="center"/>
      </w:pPr>
      <w:r>
        <w:rPr>
          <w:u w:val="single"/>
        </w:rPr>
        <w:t xml:space="preserve">SUBCHAPTER G. RURAL HOSPITALS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531.201.</w:t>
      </w:r>
      <w:r>
        <w:rPr>
          <w:u w:val="single"/>
        </w:rPr>
        <w:t xml:space="preserve"> </w:t>
      </w:r>
      <w:r>
        <w:rPr>
          <w:u w:val="single"/>
        </w:rPr>
        <w:t xml:space="preserve"> </w:t>
      </w:r>
      <w:r>
        <w:rPr>
          <w:u w:val="single"/>
        </w:rPr>
        <w:t xml:space="preserve">STRATEGIC PLAN; REPORT. (a) The commission shall develop and implement a strategic plan to ensure that the citizens of this state residing in rural areas have access to hospital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proposal for using at least one of the following methods to ensure access to hospital services in the rural areas of this state: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enhanced cost reimbursement methodology for the payment of rural hospitals participating in the Medicaid managed care program in conjunction with a supplemental payment program for rural hospitals to cover costs incurred in providing services to recipients;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hospital rate enhancement program that applies only to rural hospitals;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reduction of punitive actions under the Medicaid program that require reimbursement for Medicaid payments made to the provider, if the provider is a rural hospital, a reduction of the frequency of payment reductions under the Medicaid program made to rural hospitals, and an enhancement of payments made under merit-based programs or similar programs for rural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reduction of state regulatory-related costs related to the commission's review of rural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 accordance with rules adopted by the Centers for Medicare and Medicaid Services, the establishment of a minimum fee schedule that applies to payments made by managed care organizations to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target dates for achieving goals related to the proposal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2020, the commission shall submit the strategic plan developed under Subsection (b) to the Legislative Budget Board for comment and review. </w:t>
      </w:r>
      <w:r>
        <w:rPr>
          <w:u w:val="single"/>
        </w:rPr>
        <w:t xml:space="preserve"> </w:t>
      </w:r>
      <w:r>
        <w:rPr>
          <w:u w:val="single"/>
        </w:rPr>
        <w:t xml:space="preserve">The commission may not begin implementation of the proposal contained in the strategic plan until the strategic plan is approved by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a report regarding the commission's development and implementation of the strategic plan described by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Legislative Budget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531.202.</w:t>
      </w:r>
      <w:r>
        <w:rPr>
          <w:u w:val="single"/>
        </w:rPr>
        <w:t xml:space="preserve"> </w:t>
      </w:r>
      <w:r>
        <w:rPr>
          <w:u w:val="single"/>
        </w:rPr>
        <w:t xml:space="preserve"> </w:t>
      </w:r>
      <w:r>
        <w:rPr>
          <w:u w:val="single"/>
        </w:rPr>
        <w:t xml:space="preserve">ADVISORY COMMITTEE ON RURAL HOSPITALS.  (a) The commission shall establish the Rural Hospital Advisory Committee, either as another advisory committee or as a subcommittee of the Hospital Payment Advisory Committee, to advise the commission on issues relating specifically to rural hospitals.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Rural Hospital Advisory Committee is composed of interested persons appointed by the executive commissioner. </w:t>
      </w:r>
      <w:r>
        <w:rPr>
          <w:u w:val="single"/>
        </w:rPr>
        <w:t xml:space="preserve"> </w:t>
      </w:r>
      <w:r>
        <w:rPr>
          <w:u w:val="single"/>
        </w:rPr>
        <w:t xml:space="preserve">Section 2110.002 does not apply to the advisory committee.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member of the advisory committee serves without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531.203.</w:t>
      </w:r>
      <w:r>
        <w:rPr>
          <w:u w:val="single"/>
        </w:rPr>
        <w:t xml:space="preserve"> </w:t>
      </w:r>
      <w:r>
        <w:rPr>
          <w:u w:val="single"/>
        </w:rPr>
        <w:t xml:space="preserve"> </w:t>
      </w:r>
      <w:r>
        <w:rPr>
          <w:u w:val="single"/>
        </w:rPr>
        <w:t xml:space="preserve">COLLABORATION WITH OFFICE OF RURAL AFFAIRS.  The commission shall collaborate with the Office of Rural Affairs to ensure that this state is pursuing to the fullest extent possible federal grants, funding opportunities, and support programs available to rural hospitals as administered by the Health Resources and Services Administration and the Office of Minority Health in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533.0041.</w:t>
      </w:r>
      <w:r>
        <w:rPr>
          <w:u w:val="single"/>
        </w:rPr>
        <w:t xml:space="preserve"> </w:t>
      </w:r>
      <w:r>
        <w:rPr>
          <w:u w:val="single"/>
        </w:rPr>
        <w:t xml:space="preserve"> </w:t>
      </w:r>
      <w:r>
        <w:rPr>
          <w:u w:val="single"/>
        </w:rPr>
        <w:t xml:space="preserve">REIMBURSEMENT METHODOLOGY FOR RURAL HOSPITALS.  To the extent allowed by federal law and notwithstanding any state law, the executive commissioner shall by rule adopt a reimbursement methodology for the payment of rural hospitals participating in the Medicaid managed care program that ensures the rural hospitals are reimbursed on an individual basis that allows the rural hospitals to fully recover allowable costs incurred in providing services to recipients.  In adopting rules under this section, the executive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adopt a methodology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commission to directly reimburse rural hospitals for allowable costs;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managed care organization to reimburse rural hospitals;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define "allowable costs" and "rural hospital"</w:t>
      </w:r>
      <w:r>
        <w:rPr>
          <w:u w:val="single"/>
        </w:rPr>
        <w:t xml:space="preserve"> </w:t>
      </w:r>
      <w:r>
        <w:rPr>
          <w:u w:val="single"/>
        </w:rPr>
        <w:t xml:space="preserve">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FEES. (a) 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commission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