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86R647 MTB-F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Department of Information Resources to provide telecommunications services through statewide technology centers.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2054.376(a),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subchapter applies to all information resources technologies[</w:t>
      </w:r>
      <w:r>
        <w:rPr>
          <w:strike/>
        </w:rPr>
        <w:t xml:space="preserve">, other than telecommunications service, advanced communications services, or information service, as those terms are defined by 47 U.S.C. Section 153,</w:t>
      </w:r>
      <w:r>
        <w:t xml:space="preserve">] that are: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obtained by a state agency using state money;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used by a state agency;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used by a participating local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2054.378,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department, on a cost-sharing basis, may provide telecommunications service, advanced communications services, or information service, as those terms are defined by 47 U.S.C. Section 153, through a statewide technology center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