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2019S0290-1  02/26/19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1633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program within the Office of Court Administration of the Texas Judicial System to provide reimbursement for legal representation in certain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72, Government Code, is amended by adding Section 72.033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72.033.</w:t>
      </w:r>
      <w:r>
        <w:rPr>
          <w:u w:val="single"/>
        </w:rPr>
        <w:t xml:space="preserve"> </w:t>
      </w:r>
      <w:r>
        <w:rPr>
          <w:u w:val="single"/>
        </w:rPr>
        <w:t xml:space="preserve"> </w:t>
      </w:r>
      <w:r>
        <w:rPr>
          <w:u w:val="single"/>
        </w:rPr>
        <w:t xml:space="preserve">REIMBURSEMENT PROGRAM FOR PROVIDING LEGAL REPRESENTATION IN CHILD PROTECTION COURTS.  (a)</w:t>
      </w:r>
      <w:r>
        <w:rPr>
          <w:u w:val="single"/>
        </w:rPr>
        <w:t xml:space="preserve"> </w:t>
      </w:r>
      <w:r>
        <w:rPr>
          <w:u w:val="single"/>
        </w:rPr>
        <w:t xml:space="preserve"> </w:t>
      </w:r>
      <w:r>
        <w:rPr>
          <w:u w:val="single"/>
        </w:rPr>
        <w:t xml:space="preserve">In this section, "child protection court" means a court presided over by an associate judge appointed under Subchapter C, Chapter 201, Family Code, and to whom child protection cases are referred in accordance with that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establish a program within the office to reimburse counties for certain attorney's fees paid by the counties for legal representation provided under Part 1, Subchapter B, Chapter 107, Family Code, in suits affecting the parent-child relationship heard in a child protection court. </w:t>
      </w:r>
      <w:r>
        <w:rPr>
          <w:u w:val="single"/>
        </w:rPr>
        <w:t xml:space="preserve"> </w:t>
      </w:r>
      <w:r>
        <w:rPr>
          <w:u w:val="single"/>
        </w:rPr>
        <w:t xml:space="preserve">A county may be reimbursed for attorney's fees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who provided representation was on the list maintained by the office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was paid in accordance with the fee schedule set by the office for attorney's fees under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 list of attorneys whose fees may be eligible for state reimbursement to the county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minimum standards and qualifications for an attorney to be placed on the list;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monitor and audit the legal representation provided by the attorneys whose fees are reimbursed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set a uniform fee schedule that a county must follow to qualify for reimbursement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use available funding to expand the reimbursement provided to counties other than those with a child protection court for suits affecting the parent-child relationship under Part 1, Subchapter B, Chapter 107, Family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even-numbered year, the office shall report to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the counties that received reimbursement under this section and the amount received by each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cases, by county, where attorney's fees were eligible for reimbursement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average amount per case reimbursed to each county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list of the counties with child protection courts that did not receive reimbursement under this section.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