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1638</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67.007(b),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election returns shall state, for each candidate and for and against each measure</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 the total number of votes received in the county</w:t>
      </w:r>
    </w:p>
    <w:p w:rsidR="003F3435" w:rsidRDefault="0032493E">
      <w:pPr>
        <w:spacing w:line="480" w:lineRule="auto"/>
        <w:jc w:val="both"/>
      </w:pPr>
      <w:r>
        <w:t xml:space="preserve">as stated by the local canvassing authority's tabulation of votes</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early voting votes cast by personal appearance received in the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early voting votes cast by mail received in the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68.004(b),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periodic reports may include:</w:t>
      </w:r>
    </w:p>
    <w:p w:rsidR="003F3435" w:rsidRDefault="0032493E">
      <w:pPr>
        <w:spacing w:line="480" w:lineRule="auto"/>
        <w:ind w:firstLine="1440"/>
        <w:jc w:val="both"/>
      </w:pPr>
      <w:r>
        <w:t xml:space="preserve">(1)</w:t>
      </w:r>
      <w:r xml:space="preserve">
        <w:t> </w:t>
      </w:r>
      <w:r xml:space="preserve">
        <w:t> </w:t>
      </w:r>
      <w:r>
        <w:t xml:space="preserve">vote totals for all contested races being tabulated;</w:t>
      </w:r>
    </w:p>
    <w:p w:rsidR="003F3435" w:rsidRDefault="0032493E">
      <w:pPr>
        <w:spacing w:line="480" w:lineRule="auto"/>
        <w:ind w:firstLine="1440"/>
        <w:jc w:val="both"/>
      </w:pPr>
      <w:r>
        <w:t xml:space="preserve">(2)</w:t>
      </w:r>
      <w:r xml:space="preserve">
        <w:t> </w:t>
      </w:r>
      <w:r xml:space="preserve">
        <w:t> </w:t>
      </w:r>
      <w:r>
        <w:t xml:space="preserve">vote totals by county for federal offices and statewide offices of the state government;</w:t>
      </w:r>
    </w:p>
    <w:p w:rsidR="003F3435" w:rsidRDefault="0032493E">
      <w:pPr>
        <w:spacing w:line="480" w:lineRule="auto"/>
        <w:ind w:firstLine="1440"/>
        <w:jc w:val="both"/>
      </w:pPr>
      <w:r>
        <w:t xml:space="preserve">(3)</w:t>
      </w:r>
      <w:r xml:space="preserve">
        <w:t> </w:t>
      </w:r>
      <w:r xml:space="preserve">
        <w:t> </w:t>
      </w:r>
      <w:r>
        <w:t xml:space="preserve">vote totals for federal offices and statewide offices of the state government in each of the six most populous counties, the total for the next 19 most populous counties, and the total for the remaining 229 counties;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total number of early voting votes cast by personal appearance and the total number of early voting votes cast by mail for all contested races being tabulated;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the secretary of state determines to be relevant.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87.027, Election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The signature verification committee may compare the signature on each carrier envelope certificate, except those signed for a voter by a witness, with the signatures on other carrier envelope certificates received for the same election to determine whether the same voter cast more than one ballot by mail. </w:t>
      </w:r>
      <w:r>
        <w:rPr>
          <w:u w:val="single"/>
        </w:rPr>
        <w:t xml:space="preserve"> </w:t>
      </w:r>
      <w:r>
        <w:rPr>
          <w:u w:val="single"/>
        </w:rPr>
        <w:t xml:space="preserve">A determination under this subsection that the same voter cast more than one ballot by mail must be made by a majority vote of the committee's membership.  The committee must report a determination under this subsection that the same voter cast more than one ballot by mail in the same election to the attorney general and the attorney general shall investigate the allegations. </w:t>
      </w:r>
      <w:r>
        <w:rPr>
          <w:u w:val="single"/>
        </w:rPr>
        <w:t xml:space="preserve"> </w:t>
      </w:r>
      <w:r>
        <w:rPr>
          <w:u w:val="single"/>
        </w:rPr>
        <w:t xml:space="preserve">The secretary of state may adopt rules relating to the information included in a report to the attorney general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87.042(b),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board shall place the ballot envelope containing an accepted ballot in </w:t>
      </w:r>
      <w:r>
        <w:rPr>
          <w:u w:val="single"/>
        </w:rPr>
        <w:t xml:space="preserve">a separate ballot box from</w:t>
      </w:r>
      <w:r>
        <w:t xml:space="preserve"> the ballot box containing the early voting ballots voted by personal appearance.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87.103,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early voting votes cast by personal appearance shall be tabulated separately from the early voting votes cast by mail and shall be separately reported on the returns.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87.124, Election Code, is amended to read as follows:</w:t>
      </w:r>
    </w:p>
    <w:p w:rsidR="003F3435" w:rsidRDefault="0032493E">
      <w:pPr>
        <w:spacing w:line="480" w:lineRule="auto"/>
        <w:ind w:firstLine="720"/>
        <w:jc w:val="both"/>
      </w:pPr>
      <w:r>
        <w:t xml:space="preserve">Sec.</w:t>
      </w:r>
      <w:r xml:space="preserve">
        <w:t> </w:t>
      </w:r>
      <w:r>
        <w:t xml:space="preserve">87.124.</w:t>
      </w:r>
      <w:r xml:space="preserve">
        <w:t> </w:t>
      </w:r>
      <w:r xml:space="preserve">
        <w:t> </w:t>
      </w:r>
      <w:r>
        <w:t xml:space="preserve">PRESERVATION OF EARLY VOTING ELECTION RECORDS GENERALLY.  The early voting election returns, voted early voting ballots, and other early voting election records shall be preserved after the election in the same manner as the corresponding precinct election records </w:t>
      </w:r>
      <w:r>
        <w:rPr>
          <w:u w:val="single"/>
        </w:rPr>
        <w:t xml:space="preserve">except that early voting ballots voted by mail shall be preserved in a separate container from early voting ballots cast by personal appearance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87.042(c),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