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1642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owner of real property sold at a tax sale to transfer the owner's right of redemption to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34.21, Tax Code, is amended by adding Subsection (l)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 of real property who is entitled to redeem the property under this section may not transfer the owner's right of redemption to another person. </w:t>
      </w:r>
      <w:r>
        <w:rPr>
          <w:u w:val="single"/>
        </w:rPr>
        <w:t xml:space="preserve"> </w:t>
      </w:r>
      <w:r>
        <w:rPr>
          <w:u w:val="single"/>
        </w:rPr>
        <w:t xml:space="preserve">Any instrument purporting to transfer the owner's right of redemption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does not affect a transfer of a property owner's right of redemption that occurred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1642 passed the Senate on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1642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128, Nays</w:t>
      </w:r>
      <w:r xml:space="preserve">
        <w:t> </w:t>
      </w:r>
      <w:r>
        <w:t xml:space="preserve">16,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