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86R8437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an owner of real property sold at a tax sale to transfer the owner's right of redemption to another person.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34.21, Tax Code, is amended by adding Subsection (l)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(l)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owner of real property who is entitled to redeem the property under this section may not transfer the owner's right of redemption to another person. </w:t>
      </w:r>
      <w:r>
        <w:rPr>
          <w:u w:val="single"/>
        </w:rPr>
        <w:t xml:space="preserve"> </w:t>
      </w:r>
      <w:r>
        <w:rPr>
          <w:u w:val="single"/>
        </w:rPr>
        <w:t xml:space="preserve">Any instrument purporting to transfer the owner's right of redemption is void.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does not affect a transfer of a property owner's right of redemption that occurred before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