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86R12270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1652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of certain students for Foundation School Program benefits and the calculation of average daily attendance for those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is at least 19 years of age and under 26 years of age and is enrolled in an adult high school diploma and industry certification charter school pilot program under Section 29.259</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at least 18 years of age and under 26 years of age and is enrolled in a workforce training program provided by a school district off campus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42.005, Education Code,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For a student described by Section 42.003(a)(3), time that the student spends participating in a program under that subdivision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