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2019S0322-1  03/04/19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1661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legislative oversight and funding of deferred maintenance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2165, Government Code, is amended to read as follows:</w:t>
      </w:r>
    </w:p>
    <w:p w:rsidR="003F3435" w:rsidRDefault="0032493E">
      <w:pPr>
        <w:spacing w:line="480" w:lineRule="auto"/>
        <w:jc w:val="center"/>
      </w:pPr>
      <w:r>
        <w:t xml:space="preserve">SUBCHAPTER I. </w:t>
      </w:r>
      <w:r>
        <w:t xml:space="preserve"> </w:t>
      </w:r>
      <w:r>
        <w:t xml:space="preserve">DEFERRED MAINTENANCE </w:t>
      </w:r>
      <w:r>
        <w:rPr>
          <w:u w:val="single"/>
        </w:rPr>
        <w:t xml:space="preserve">FUNDING</w:t>
      </w:r>
      <w:r>
        <w:t xml:space="preserve"> [</w:t>
      </w:r>
      <w:r>
        <w:rPr>
          <w:strike/>
        </w:rPr>
        <w:t xml:space="preserve">FUND</w:t>
      </w:r>
      <w:r>
        <w:t xml:space="preserve">]</w:t>
      </w:r>
    </w:p>
    <w:p w:rsidR="003F3435" w:rsidRDefault="0032493E">
      <w:pPr>
        <w:spacing w:line="480" w:lineRule="auto"/>
        <w:ind w:firstLine="720"/>
        <w:jc w:val="both"/>
      </w:pPr>
      <w:r>
        <w:t xml:space="preserve">Sec.</w:t>
      </w:r>
      <w:r xml:space="preserve">
        <w:t> </w:t>
      </w:r>
      <w:r>
        <w:t xml:space="preserve">2165.401.</w:t>
      </w:r>
      <w:r xml:space="preserve">
        <w:t> </w:t>
      </w:r>
      <w:r xml:space="preserve">
        <w:t> </w:t>
      </w:r>
      <w:r>
        <w:t xml:space="preserve">PURPOSE; INTENT. </w:t>
      </w:r>
      <w:r>
        <w:t xml:space="preserve"> </w:t>
      </w:r>
      <w:r>
        <w:t xml:space="preserve">It is the intent of the legislature that state facilities be brought into a better state of repair to ensure the safety of employees and visitors, the efficiency of building operations, and a long-term reduction in repair costs by addressing deferred maintenance issues. </w:t>
      </w:r>
      <w:r>
        <w:t xml:space="preserve"> </w:t>
      </w:r>
      <w:r>
        <w:t xml:space="preserve">[</w:t>
      </w:r>
      <w:r>
        <w:rPr>
          <w:strike/>
        </w:rPr>
        <w:t xml:space="preserve">The deferred maintenance fund is created to fund projects for this purpose.</w:t>
      </w:r>
      <w:r>
        <w:t xml:space="preserve">]</w:t>
      </w:r>
    </w:p>
    <w:p w:rsidR="003F3435" w:rsidRDefault="0032493E">
      <w:pPr>
        <w:spacing w:line="480" w:lineRule="auto"/>
        <w:ind w:firstLine="720"/>
        <w:jc w:val="both"/>
      </w:pPr>
      <w:r>
        <w:t xml:space="preserve">Sec.</w:t>
      </w:r>
      <w:r xml:space="preserve">
        <w:t> </w:t>
      </w:r>
      <w:r>
        <w:t xml:space="preserve">2165.402.</w:t>
      </w:r>
      <w:r xml:space="preserve">
        <w:t> </w:t>
      </w:r>
      <w:r xml:space="preserve">
        <w:t> </w:t>
      </w:r>
      <w:r>
        <w:t xml:space="preserve">DEFINITION. </w:t>
      </w:r>
      <w:r>
        <w:t xml:space="preserve"> </w:t>
      </w:r>
      <w:r>
        <w:t xml:space="preserve">In this subchapter, "fund" means the </w:t>
      </w:r>
      <w:r>
        <w:rPr>
          <w:u w:val="single"/>
        </w:rPr>
        <w:t xml:space="preserve">state</w:t>
      </w:r>
      <w:r>
        <w:t xml:space="preserve"> deferred maintenance fund </w:t>
      </w:r>
      <w:r>
        <w:rPr>
          <w:u w:val="single"/>
        </w:rPr>
        <w:t xml:space="preserve">under Section 49-g-4, Article III, Texas Constitution</w:t>
      </w:r>
      <w:r>
        <w:t xml:space="preserve">.</w:t>
      </w:r>
    </w:p>
    <w:p w:rsidR="003F3435" w:rsidRDefault="0032493E">
      <w:pPr>
        <w:spacing w:line="480" w:lineRule="auto"/>
        <w:ind w:firstLine="720"/>
        <w:jc w:val="both"/>
      </w:pPr>
      <w:r>
        <w:t xml:space="preserve">Sec.</w:t>
      </w:r>
      <w:r xml:space="preserve">
        <w:t> </w:t>
      </w:r>
      <w:r>
        <w:t xml:space="preserve">2165.403.</w:t>
      </w:r>
      <w:r xml:space="preserve">
        <w:t> </w:t>
      </w:r>
      <w:r xml:space="preserve">
        <w:t> </w:t>
      </w:r>
      <w:r>
        <w:rPr>
          <w:u w:val="single"/>
        </w:rPr>
        <w:t xml:space="preserve">STATE</w:t>
      </w:r>
      <w:r>
        <w:t xml:space="preserve"> DEFERRED MAINTENANCE FUND [</w:t>
      </w:r>
      <w:r>
        <w:rPr>
          <w:strike/>
        </w:rPr>
        <w:t xml:space="preserve">ACCOUNT</w:t>
      </w:r>
      <w:r>
        <w:t xml:space="preserve">].  (a)</w:t>
      </w:r>
      <w:r xml:space="preserve">
        <w:t> </w:t>
      </w:r>
      <w:r xml:space="preserve">
        <w:t> </w:t>
      </w:r>
      <w:r>
        <w:rPr>
          <w:u w:val="single"/>
        </w:rPr>
        <w:t xml:space="preserve">The legislature may appropriate money in the fund to state agencies to provide funding for deferred maintenance projects identified in the agencies' deferred maintenance plans</w:t>
      </w:r>
      <w:r>
        <w:t xml:space="preserve"> [</w:t>
      </w:r>
      <w:r>
        <w:rPr>
          <w:strike/>
        </w:rPr>
        <w:t xml:space="preserve">The fund is an account in the general revenue fund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This subsection applies only to an appropriation from the fund of money transferred to the fund from the economic stabilization fund on January 1, 2020, or of investment earnings or interest attributable to that money.  In making an appropriation to which this subsection applies, the legislature shall prioritize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$947,151,974 to the Parks and Wildlife Department for deferred maintenance projects, including facility maintenance;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$201,974,643 to the Texas Historical Commission for deferred maintenance projects, including courthouse renovation;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$10,947,537 to the Department of Public Safety for deferred maintenance projects;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$8,303,780 to the Texas Military Department for deferred maintenance projects;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$30,626,056 to the Texas Department of Criminal Justice for deferred maintenance projects;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$78,560,277 to the Texas Facilities Commission for deferred maintenance projects;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$42,345,526 to the Texas Department of Transportation for deferred maintenance projects;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$1,763,148 to the Department of State Health Services for deferred maintenance projects;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$4,444,199 to the State Preservation Board for deferred maintenance projects;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to the Health and Human Services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$300,000,000 to increase the number of mental health beds at state hospitals in rural areas and state supported living centers in rural areas;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$143,007,114 for other deferred maintenance projects, including deferred maintenance at state hospitals and state supported living centers;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$11,505,743 to the Texas Juvenile Justice Department for deferred maintenance projects;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$100,000,000 for the creation of a technology legacy fund</w:t>
      </w:r>
      <w:r>
        <w:t xml:space="preserve"> [</w:t>
      </w:r>
      <w:r>
        <w:rPr>
          <w:strike/>
        </w:rPr>
        <w:t xml:space="preserve">The fund consists of money appropriated, credited, or transferred to the fund by or at the direction of the legislature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amounts described by Subsection (b) may be adjusted by the legislature in the General Appropriations Act as necessary, as determined by the legislature.  The legislature may consider the report received from the Joint Oversight Committee on Government Facilities when making adjustments</w:t>
      </w:r>
      <w:r>
        <w:t xml:space="preserve"> [</w:t>
      </w:r>
      <w:r>
        <w:rPr>
          <w:strike/>
        </w:rPr>
        <w:t xml:space="preserve">Section 403.095 does not apply to the fund</w:t>
      </w:r>
      <w:r>
        <w:t xml:space="preserve">].</w:t>
      </w:r>
    </w:p>
    <w:p w:rsidR="003F3435" w:rsidRDefault="0032493E">
      <w:pPr>
        <w:spacing w:line="480" w:lineRule="auto"/>
        <w:ind w:firstLine="720"/>
        <w:jc w:val="both"/>
      </w:pPr>
      <w:r>
        <w:t xml:space="preserve">(d)</w:t>
      </w:r>
      <w:r xml:space="preserve">
        <w:t> </w:t>
      </w:r>
      <w:r xml:space="preserve">
        <w:t> </w:t>
      </w:r>
      <w:r>
        <w:t xml:space="preserve">The use of money credited to the fund by appropriation or transfer from the game, fish, and water safety account, the lifetime license endowment account, or another fund or account in the state treasury the use of which is subject to restrictions under the federal </w:t>
      </w:r>
      <w:r>
        <w:rPr>
          <w:u w:val="single"/>
        </w:rPr>
        <w:t xml:space="preserve">Dingell-Johnson</w:t>
      </w:r>
      <w:r>
        <w:t xml:space="preserve"> Sport Fish Restoration Act (16 U.S.C. Section 777 et seq.), the federal </w:t>
      </w:r>
      <w:r>
        <w:rPr>
          <w:u w:val="single"/>
        </w:rPr>
        <w:t xml:space="preserve">Pittman-Robertson</w:t>
      </w:r>
      <w:r>
        <w:t xml:space="preserve"> Wildlife Restoration Act (16 U.S.C. Section 669 et seq.), or other federal law, and the use of money earned as interest or other earnings on the investment of that money credited to the fund, continues to be subject to those federal restrictions and may be used only for a function required to manage this state's fish or wildlife resources in accordance with those federal restrictions.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Subsections (b) and (c) and this subsection expire September 1, 2031.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2165.404.</w:t>
      </w:r>
      <w:r>
        <w:rPr>
          <w:u w:val="single"/>
        </w:rPr>
        <w:t xml:space="preserve"> </w:t>
      </w:r>
      <w:r>
        <w:rPr>
          <w:u w:val="single"/>
        </w:rPr>
        <w:t xml:space="preserve"> </w:t>
      </w:r>
      <w:r>
        <w:rPr>
          <w:u w:val="single"/>
        </w:rPr>
        <w:t xml:space="preserve">JOINT OVERSIGHT COMMITTEE ON GOVERNMENT FACILITIES.  (a)</w:t>
      </w:r>
      <w:r>
        <w:rPr>
          <w:u w:val="single"/>
        </w:rPr>
        <w:t xml:space="preserve"> </w:t>
      </w:r>
      <w:r>
        <w:rPr>
          <w:u w:val="single"/>
        </w:rPr>
        <w:t xml:space="preserve"> </w:t>
      </w:r>
      <w:r>
        <w:rPr>
          <w:u w:val="single"/>
        </w:rPr>
        <w:t xml:space="preserve">In this section, "committee" means the Joint Oversight Committee on Government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is created to review deferred maintenance plans and receive implementation updates.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is composed of six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of the committee shall alternate annually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house of representatives appointed by the speaker of the house of representatives.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vacancy on the committee shall be filled in the same manner as the original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committee biennially shall provide a written report to the legislature that identifies: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spent for deferred maintenance;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planned deferred maintenance projects;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status of ongoing and completed deferred maintenance projects.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following persons shall provide staff support for the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executive staff of the Parks and Wildlife Department with knowledge of the department's deferred maintenance plan or that person's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chief financial officer of the Parks and Wildlife Department or that person's designee;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member of the executive staff of the Texas Historical Commission with knowledge of the commission's deferred maintenance plan or that person's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chief financial officer of the Texas Historical Commission or that person's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executive staff of the Health and Human Services Commission with knowledge of the commission's deferred maintenance plan or that person's designee;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chief financial officer of the Health and Human Services Commission or that person's designee.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has the powers of a joint committee of the legislature and may obtain funding in the same manner as a joint committee.  The Texas Legislative Council may provide funding for the operations of the committee.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rules adopted by the 86th Legislature for the administration of joint committees created by proclamation apply to the committee to the extent the rules are consistent with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committee is abolished and this section expires September 1, 2031.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In this section, "committee" means the Joint Oversight Committee on Government Facilities created by Section 2165.404, Government Code, as added by this Act.</w:t>
      </w:r>
    </w:p>
    <w:p w:rsidR="003F3435" w:rsidRDefault="0032493E">
      <w:pPr>
        <w:spacing w:line="480" w:lineRule="auto"/>
        <w:ind w:firstLine="720"/>
        <w:jc w:val="both"/>
      </w:pPr>
      <w:r>
        <w:t xml:space="preserve">(b)</w:t>
      </w:r>
      <w:r xml:space="preserve">
        <w:t> </w:t>
      </w:r>
      <w:r xml:space="preserve">
        <w:t> </w:t>
      </w:r>
      <w:r>
        <w:t xml:space="preserve">The lieutenant governor and the speaker of the house of representatives shall make appointments to the committee not later than January 15, 2020.</w:t>
      </w:r>
    </w:p>
    <w:p w:rsidR="003F3435" w:rsidRDefault="0032493E">
      <w:pPr>
        <w:spacing w:line="480" w:lineRule="auto"/>
        <w:ind w:firstLine="720"/>
        <w:jc w:val="both"/>
      </w:pPr>
      <w:r>
        <w:t xml:space="preserve">(c)</w:t>
      </w:r>
      <w:r xml:space="preserve">
        <w:t> </w:t>
      </w:r>
      <w:r xml:space="preserve">
        <w:t> </w:t>
      </w:r>
      <w:r>
        <w:t xml:space="preserve">The lieutenant governor shall appoint the initial presiding officer of the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On January 1, 2020, the deferred maintenance fund account is abolished and the unencumbered balance of that account is transferred to the state deferred maintenance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but only if the constitutional amendment proposed by the 86th Legislature, Regular Session, 2019, establishing the state deferred maintenance fund to provide funding for deferred maintenance at state facilities and transferring economic stabilization fund money to that fund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