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86R23836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1663</w:t>
      </w:r>
    </w:p>
    <w:p w:rsidR="003F3435" w:rsidRDefault="0032493E">
      <w:pPr>
        <w:ind w:firstLine="720"/>
        <w:jc w:val="both"/>
      </w:pPr>
      <w:r>
        <w:t xml:space="preserve">(White, Toth, Hefner,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1663:</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C.S.S.B.</w:t>
      </w:r>
      <w:r xml:space="preserve">
        <w:t> </w:t>
      </w:r>
      <w:r>
        <w:t xml:space="preserve">No.</w:t>
      </w:r>
      <w:r xml:space="preserve">
        <w:t> </w:t>
      </w:r>
      <w:r>
        <w:t xml:space="preserve">1663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removal, relocation, alteration, or construction of certain monuments or memorials located on public property;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w:t>
      </w:r>
      <w:r>
        <w:t xml:space="preserve"> </w:t>
      </w:r>
      <w:r>
        <w:t xml:space="preserve">In this section, "monument or memorial" means a permanent monument, memorial, or other designation, including a statue, portrait, plaque, seal, symbol, 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w:t>
      </w:r>
      <w:r>
        <w:rPr>
          <w:u w:val="single"/>
        </w:rPr>
        <w:t xml:space="preserve">that is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w:t>
      </w:r>
      <w:r>
        <w:t xml:space="preserve"> may be removed, relocated, or altered</w:t>
      </w:r>
      <w:r>
        <w:rPr>
          <w:u w:val="single"/>
        </w:rPr>
        <w:t xml:space="preserve">, including alteration to maintain historical accuracy, </w:t>
      </w:r>
      <w:r>
        <w:t xml:space="preserve">only[</w:t>
      </w:r>
      <w:r>
        <w:rPr>
          <w:strike/>
        </w:rPr>
        <w:t xml:space="preserve">:</w:t>
      </w:r>
    </w:p>
    <w:p w:rsidR="003F3435" w:rsidRDefault="0032493E">
      <w:pPr>
        <w:spacing w:line="480" w:lineRule="auto"/>
        <w:ind w:firstLine="1440"/>
        <w:ind w:start="720"/>
        <w:jc w:val="both"/>
      </w:pPr>
      <w:r>
        <w:t xml:space="preserve">[</w:t>
      </w:r>
      <w:r>
        <w:rPr>
          <w:strike/>
        </w:rPr>
        <w:t xml:space="preserve">(1)</w:t>
      </w:r>
      <w:r>
        <w:t xml:space="preserve">]</w:t>
      </w:r>
      <w:r xml:space="preserve">
        <w:t> </w:t>
      </w:r>
      <w:r xml:space="preserve">
        <w:t> </w:t>
      </w:r>
      <w:r>
        <w:t xml:space="preserve">by the legislature[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2166, Government Code, is amended by adding Section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  A resident of this state may file a complaint with the attorney general if the resident asserts facts supporting an allegation that an entity has violated Section 2166.5011(b).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to comply with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is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40 years may not be removed, relocated, or altered;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at least 20 years but less than 40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less than 20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  A resident of a municipality or county, as applicable, may file a complaint with the attorney general if the resident asserts facts supporting an allegation that the municipality or county has violated Section 338.002. 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