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1674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Finance;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13, Nays 0;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amount credited in a state fiscal year to the judicial fund to provide basic civil legal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402.007(d),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total amount credited to the judicial fund for programs approved by the supreme court that provide basic civil legal services to the indigent under Subsection (b) may not exceed $50 million per state fiscal </w:t>
      </w:r>
      <w:r>
        <w:rPr>
          <w:u w:val="single"/>
        </w:rPr>
        <w:t xml:space="preserve">year</w:t>
      </w:r>
      <w:r>
        <w:t xml:space="preserve"> [</w:t>
      </w:r>
      <w:r>
        <w:rPr>
          <w:strike/>
        </w:rPr>
        <w:t xml:space="preserve">biennium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