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1679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6,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Education;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11, Nays 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1679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eligibility of certain children for free prekindergarten programs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29.153, Education Code,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child who is eligible for enrollment in a prekindergarten class under Subsection (b) at the age of three and enrolls in a prekindergarten class at the age of three remains eligible for enrollment in a prekindergarten class for the following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1679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