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1682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contingency reserve account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1575, Insurance Code, is amended by adding Section 1575.307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1575.307.</w:t>
      </w:r>
      <w:r>
        <w:rPr>
          <w:u w:val="single"/>
        </w:rPr>
        <w:t xml:space="preserve"> </w:t>
      </w:r>
      <w:r>
        <w:rPr>
          <w:u w:val="single"/>
        </w:rPr>
        <w:t xml:space="preserve"> </w:t>
      </w:r>
      <w:r>
        <w:rPr>
          <w:u w:val="single"/>
        </w:rPr>
        <w:t xml:space="preserve">CONTINGENCY RESERVE ACCOUNT.  (a)</w:t>
      </w:r>
      <w:r>
        <w:rPr>
          <w:u w:val="single"/>
        </w:rPr>
        <w:t xml:space="preserve"> </w:t>
      </w:r>
      <w:r>
        <w:rPr>
          <w:u w:val="single"/>
        </w:rPr>
        <w:t xml:space="preserve"> </w:t>
      </w:r>
      <w:r>
        <w:rPr>
          <w:u w:val="single"/>
        </w:rPr>
        <w:t xml:space="preserve">Before the first day of each state fiscal biennium, the trustee shall estimate for an average 60-day period during the biennium the expenditures from the fund anticipated for the group program, considering projected claims and administrative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place the estimated amount in a contingency reserve account to provide for adverse fluctuations in claims or administrative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shall include in each request for legislative appropriations to the group program the amount the trustee determines to be necessary to maintain the contingency reserve account at the level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trustee may invest and reinvest any portion of the contingency reserve account in accordance with Sections 825.103(b) and 825.301, Government Code, considering the functional need to provide for adverse fluctuations in claims or administrative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interest on, earnings of, and proceeds from the sale of investments of assets in the contingency reserve account shall be credited to the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trustee, from time to time and in amounts the trustee considers appropriate, may transfer unused money for administrative expenses to the contingency reserve account to be used by the trustee only for charges, claims, and expenses under the group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