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1682</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6,</w:t>
      </w:r>
      <w:r xml:space="preserve">
        <w:t> </w:t>
      </w:r>
      <w:r>
        <w:t xml:space="preserve">2019; March</w:t>
      </w:r>
      <w:r xml:space="preserve">
        <w:t> </w:t>
      </w:r>
      <w:r>
        <w:t xml:space="preserve">14,</w:t>
      </w:r>
      <w:r xml:space="preserve">
        <w:t> </w:t>
      </w:r>
      <w:r>
        <w:t xml:space="preserve">2019, read first time and referred to Committee on State Affairs; April</w:t>
      </w:r>
      <w:r xml:space="preserve">
        <w:t> </w:t>
      </w:r>
      <w:r>
        <w:t xml:space="preserve">9,</w:t>
      </w:r>
      <w:r xml:space="preserve">
        <w:t> </w:t>
      </w:r>
      <w:r>
        <w:t xml:space="preserve">2019, reported adversely, with favorable Committee Substitute by the following vote:</w:t>
      </w:r>
      <w:r>
        <w:t xml:space="preserve"> </w:t>
      </w:r>
      <w:r>
        <w:t xml:space="preserve"> </w:t>
      </w:r>
      <w:r>
        <w:t xml:space="preserve">Yeas</w:t>
      </w:r>
      <w:r xml:space="preserve">
        <w:t> </w:t>
      </w:r>
      <w:r>
        <w:t xml:space="preserve">9, Nays</w:t>
      </w:r>
      <w:r xml:space="preserve">
        <w:t> </w:t>
      </w:r>
      <w:r>
        <w:t xml:space="preserve">0; April</w:t>
      </w:r>
      <w:r xml:space="preserve">
        <w:t> </w:t>
      </w:r>
      <w:r>
        <w:t xml:space="preserve">9,</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1682</w:t>
      </w:r>
      <w:r xml:space="preserve">
        <w:tab wTab="150" tlc="none" cTlc="0"/>
      </w:r>
      <w:r>
        <w:t xml:space="preserve">By:</w:t>
      </w:r>
      <w:r xml:space="preserve">
        <w:t> </w:t>
      </w:r>
      <w:r xml:space="preserve">
        <w:t> </w:t>
      </w:r>
      <w:r>
        <w:t xml:space="preserve">Huffman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establishing a contingency reserve account under the Texas Public School Employees Group Insurance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1575, Insurance Code, is amended by adding Section 1575.307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1575.307.</w:t>
      </w:r>
      <w:r>
        <w:rPr>
          <w:u w:val="single"/>
        </w:rPr>
        <w:t xml:space="preserve"> </w:t>
      </w:r>
      <w:r>
        <w:rPr>
          <w:u w:val="single"/>
        </w:rPr>
        <w:t xml:space="preserve"> </w:t>
      </w:r>
      <w:r>
        <w:rPr>
          <w:u w:val="single"/>
        </w:rPr>
        <w:t xml:space="preserve">CONTINGENCY RESERVE ACCOUNT.  (a)</w:t>
      </w:r>
      <w:r>
        <w:rPr>
          <w:u w:val="single"/>
        </w:rPr>
        <w:t xml:space="preserve"> </w:t>
      </w:r>
      <w:r>
        <w:rPr>
          <w:u w:val="single"/>
        </w:rPr>
        <w:t xml:space="preserve"> </w:t>
      </w:r>
      <w:r>
        <w:rPr>
          <w:u w:val="single"/>
        </w:rPr>
        <w:t xml:space="preserve">Before the first day of each state fiscal biennium, the trustee shall estimate for an average 60-day period during the biennium the expenditures from the fund anticipated for the group program, considering projected claims and administrative expenses.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trustee shall place the estimated amount in a contingency reserve account to provide for adverse fluctuations in claims or administrative expenses.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trustee shall include in each request for legislative appropriations to the group program the amount the trustee determines to be necessary to maintain the contingency reserve account at the level required by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trustee may invest and reinvest any portion of the contingency reserve account in accordance with Sections 825.103(b) and 825.301, Government Code, considering the functional need to provide for adverse fluctuations in claims or administrative expenses.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interest on, earnings of, and proceeds from the sale of investments of assets in the contingency reserve account shall be credited to the account.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trustee, from time to time and in amounts the trustee considers appropriate, may transfer unused money for administrative expenses to the contingency reserve account to be used by the trustee only for charges, claims, and expenses under the group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1682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