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86R11988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forgery relating to a writing of a metal recycling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32.21, Penal Code, is amended by amending Subsection (e-2) and adding Subsection (e-3) to read as follows:</w:t>
      </w:r>
    </w:p>
    <w:p w:rsidR="003F3435" w:rsidRDefault="0032493E">
      <w:pPr>
        <w:spacing w:line="480" w:lineRule="auto"/>
        <w:ind w:firstLine="720"/>
        <w:jc w:val="both"/>
      </w:pPr>
      <w:r>
        <w:t xml:space="preserve">(e-2)</w:t>
      </w:r>
      <w:r xml:space="preserve">
        <w:t> </w:t>
      </w:r>
      <w:r xml:space="preserve">
        <w:t> </w:t>
      </w:r>
      <w:r>
        <w:rPr>
          <w:u w:val="single"/>
        </w:rPr>
        <w:t xml:space="preserve">Notwithstanding any other provision of this section, an offense under this section is a state jail felony if the writing is or purports to be a check, authorization to debit an account at a financial institution, or similar sight order issued by a metal recycling entity as defined by Section 1956.001, Occupations Code, regardless of the value of any property or service obtained or sought to be obtained.</w:t>
      </w:r>
    </w:p>
    <w:p w:rsidR="003F3435" w:rsidRDefault="0032493E">
      <w:pPr>
        <w:spacing w:line="480" w:lineRule="auto"/>
        <w:ind w:firstLine="720"/>
        <w:jc w:val="both"/>
      </w:pPr>
      <w:r>
        <w:rPr>
          <w:u w:val="single"/>
        </w:rPr>
        <w:t xml:space="preserve">(e-3)</w:t>
      </w:r>
      <w:r xml:space="preserve">
        <w:t> </w:t>
      </w:r>
      <w:r xml:space="preserve">
        <w:t> </w:t>
      </w:r>
      <w:r>
        <w:t xml:space="preserve">Notwithstanding any other provision of this section, an offense under this section, other than an offense described for purposes of punishment by Subsection (e-1)(7) </w:t>
      </w:r>
      <w:r>
        <w:rPr>
          <w:u w:val="single"/>
        </w:rPr>
        <w:t xml:space="preserve">or (e-2)</w:t>
      </w:r>
      <w:r>
        <w:t xml:space="preserve">, is increased to the next higher category of offense if it is shown on the trial of the offense that the offense was committed against an elderly individual as defined by Section 22.04.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