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2019S0287-1  02/26/19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Lubbock County Hospital District of Lubbock County, Texas, to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1053, Special District Local Laws Code, is amended by adding Section 1053.0601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1053.0601.</w:t>
      </w:r>
      <w:r>
        <w:rPr>
          <w:u w:val="single"/>
        </w:rPr>
        <w:t xml:space="preserve"> </w:t>
      </w:r>
      <w:r>
        <w:rPr>
          <w:u w:val="single"/>
        </w:rPr>
        <w:t xml:space="preserve"> </w:t>
      </w:r>
      <w:r>
        <w:rPr>
          <w:u w:val="single"/>
        </w:rPr>
        <w:t xml:space="preserve">EMPLOYMENT OF PHYSICIANS.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"Facility-based services" means emergency medicine, general hospital medicine, and radiology services provided at a hospital or other health care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health care facility" means an ambulatory surgical center, emergency center, cancer center, or imaging center operated separately from a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employ physicians as the board considers necessary to provide facility-based services at a hospital or other health care facility owned or operated by the district as provided by this section.  The board may retain all or part of the professional income generated by a physician employed by the district for such facility-based services if the board satisfies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its statutory mandate to provide medical and hospital care for district residents, including needy and indigent residents, as provided by Sections 1053.101 and 1053.104.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committee of the district shall adopt, maintain, and enforce policies and rules to ensure that a physician employed by the district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and rules adopted by the medical executive committee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covenants not to compete that comply with Section 15.50, Business &amp; Commerce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committee and the board shall jointly develop and implement a conflict management process to resolve any conflict between a policy or rule adopted by the committee under this section and a policy or rule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committee who is a physician shall provide biennially to the chair of the committee a signed, verified statement indicating that the committee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committee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committee member's best efforts to ensure compliance with the policies and rules that are adopted or established by the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committee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chair of the medical executive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