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1690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Intergovernmental Relations; April</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6, Nays</w:t>
      </w:r>
      <w:r xml:space="preserve">
        <w:t> </w:t>
      </w:r>
      <w:r>
        <w:t xml:space="preserve">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1690</w:t>
      </w:r>
      <w:r xml:space="preserve">
        <w:tab wTab="150" tlc="none" cTlc="0"/>
      </w:r>
      <w:r>
        <w:t xml:space="preserve">By:</w:t>
      </w:r>
      <w:r xml:space="preserve">
        <w:t> </w:t>
      </w:r>
      <w:r xml:space="preserve">
        <w:t> </w:t>
      </w:r>
      <w:r>
        <w:t xml:space="preserve">Schwertner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authority of the Lubbock County Hospital District of Lubbock County, Texas, to employ physicians.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1053, Special District Local Laws Code, is amended by adding Section 1053.0601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1053.0601.</w:t>
      </w:r>
      <w:r>
        <w:rPr>
          <w:u w:val="single"/>
        </w:rPr>
        <w:t xml:space="preserve"> </w:t>
      </w:r>
      <w:r>
        <w:rPr>
          <w:u w:val="single"/>
        </w:rPr>
        <w:t xml:space="preserve"> </w:t>
      </w:r>
      <w:r>
        <w:rPr>
          <w:u w:val="single"/>
        </w:rPr>
        <w:t xml:space="preserve">EMPLOYMENT OF PHYSICIANS TO PROVIDE CERTAIN HOSPITAL-BASED SERVICES.  (a)</w:t>
      </w:r>
      <w:r>
        <w:rPr>
          <w:u w:val="single"/>
        </w:rPr>
        <w:t xml:space="preserve"> </w:t>
      </w:r>
      <w:r>
        <w:rPr>
          <w:u w:val="single"/>
        </w:rPr>
        <w:t xml:space="preserve"> </w:t>
      </w:r>
      <w:r>
        <w:rPr>
          <w:u w:val="single"/>
        </w:rPr>
        <w:t xml:space="preserve">For purposes of this section, "hospital-based services" means the following services when provided at a hospital: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emergency medicine;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medicine practiced by a hospitalist;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radiology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employ physicians as the board considers necessary to provide hospital-based services at a hospital owned or operated by the district as provided by this section. </w:t>
      </w:r>
      <w:r>
        <w:rPr>
          <w:u w:val="single"/>
        </w:rPr>
        <w:t xml:space="preserve"> </w:t>
      </w:r>
      <w:r>
        <w:rPr>
          <w:u w:val="single"/>
        </w:rPr>
        <w:t xml:space="preserve">The board may retain all or part of the professional income generated by a physician employed by the district for those hospital-based services if the board satisfies the requirements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of an employment contract entered into under this section may not exceed five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as authorizing the board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supervise or control the practice of medicine, as prohibited by Subtitle B, Title 3, Occupations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physicians for any purpose other than the provision of hospital-based services at a hospital owned or operated by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granted to the board under Subsection (b) to employ physicians shall apply as necessary for the district to fulfill the district's statutory mandate to provide medical and hospital care to the district's residents, including the district's needy and indigent residents, as provided by Sections 1053.101 and 1053.104.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medical executive committee of the district shall adopt, maintain, and enforce policies to ensure that a physician employed by the district exercises the physician's independent medical judgment in providing care to patients.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policies adopted by the medical executive committee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policies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governance of the medical executive committee;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due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requiring the disclosure of financial conflicts of interest by a member of the medical executive committee.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medical executive committee and the board shall jointly develop and implement a conflict management process to resolve any conflict between a policy adopted by the medical executive committee under this section and a policy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member of the medical executive committee who is a physician shall provide biennially to the chair of the medical executive committee a signed, verified statement indicating that the committee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by the Texas Medical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exercise independent medical judgment in all medical executive committee matters, including matters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due process;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exercise the committee member's best efforts to ensure compliance with the policies that are adopted or established by the medical executive committee;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will report immediately to the Texas Medical Board any action or event that the committee member reasonably and in good faith believes constitutes a compromise of the independent medical judgment of a physician in caring for a patient.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all matters relating to the practice of medicine, each physician employed by the district shall ultimately report to the chair of the medical executive committee for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