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Fallon</w:t>
      </w:r>
      <w:r xml:space="preserve">
        <w:tab wTab="150" tlc="none" cTlc="0"/>
      </w:r>
      <w:r>
        <w:t xml:space="preserve">S.B.</w:t>
      </w:r>
      <w:r xml:space="preserve">
        <w:t> </w:t>
      </w:r>
      <w:r>
        <w:t xml:space="preserve">No.</w:t>
      </w:r>
      <w:r xml:space="preserve">
        <w:t> </w:t>
      </w:r>
      <w:r>
        <w:t xml:space="preserve">1691</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2019; March</w:t>
      </w:r>
      <w:r xml:space="preserve">
        <w:t> </w:t>
      </w:r>
      <w:r>
        <w:t xml:space="preserve">14,</w:t>
      </w:r>
      <w:r xml:space="preserve">
        <w:t> </w:t>
      </w:r>
      <w:r>
        <w:t xml:space="preserve">2019, read first time and referred to Committee on State Affairs; April</w:t>
      </w:r>
      <w:r xml:space="preserve">
        <w:t> </w:t>
      </w:r>
      <w:r>
        <w:t xml:space="preserve">17,</w:t>
      </w:r>
      <w:r xml:space="preserve">
        <w:t> </w:t>
      </w:r>
      <w:r>
        <w:t xml:space="preserve">2019, reported adversely, with favorable Committee Substitute by the following vote:</w:t>
      </w:r>
      <w:r>
        <w:t xml:space="preserve"> </w:t>
      </w:r>
      <w:r>
        <w:t xml:space="preserve"> </w:t>
      </w:r>
      <w:r>
        <w:t xml:space="preserve">Yeas</w:t>
      </w:r>
      <w:r xml:space="preserve">
        <w:t> </w:t>
      </w:r>
      <w:r>
        <w:t xml:space="preserve">9, Nays</w:t>
      </w:r>
      <w:r xml:space="preserve">
        <w:t> </w:t>
      </w:r>
      <w:r>
        <w:t xml:space="preserve">0; April</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1691</w:t>
      </w:r>
      <w:r xml:space="preserve">
        <w:tab wTab="150" tlc="none" cTlc="0"/>
      </w:r>
      <w:r>
        <w:t xml:space="preserve">By:</w:t>
      </w:r>
      <w:r xml:space="preserve">
        <w:t> </w:t>
      </w:r>
      <w:r xml:space="preserve">
        <w:t> </w:t>
      </w:r>
      <w:r>
        <w:t xml:space="preserve">Nelson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expedited processing of certain applications for a license to carry a handgun; waiving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411.177, Government Code, is amended by amending Subsection (b) and adding Subsections (b-1) and (b-2)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otherwise provided by Subsection (b-1), the</w:t>
      </w:r>
      <w:r xml:space="preserve">
        <w:t> </w:t>
      </w:r>
      <w:r>
        <w:t xml:space="preserve">[</w:t>
      </w:r>
      <w:r>
        <w:rPr>
          <w:strike/>
        </w:rPr>
        <w:t xml:space="preserve">The</w:t>
      </w:r>
      <w:r>
        <w:t xml:space="preserve">] department shall, not later than the 60th day after the date of the receipt by the director's designee of the completed application materials:</w:t>
      </w:r>
    </w:p>
    <w:p w:rsidR="003F3435" w:rsidRDefault="0032493E">
      <w:pPr>
        <w:spacing w:line="480" w:lineRule="auto"/>
        <w:ind w:firstLine="1440"/>
        <w:jc w:val="both"/>
      </w:pPr>
      <w:r>
        <w:t xml:space="preserve">(1)</w:t>
      </w:r>
      <w:r xml:space="preserve">
        <w:t> </w:t>
      </w:r>
      <w:r xml:space="preserve">
        <w:t> </w:t>
      </w:r>
      <w:r>
        <w:t xml:space="preserve">issue the license;</w:t>
      </w:r>
    </w:p>
    <w:p w:rsidR="003F3435" w:rsidRDefault="0032493E">
      <w:pPr>
        <w:spacing w:line="480" w:lineRule="auto"/>
        <w:ind w:firstLine="1440"/>
        <w:jc w:val="both"/>
      </w:pPr>
      <w:r>
        <w:t xml:space="preserve">(2)</w:t>
      </w:r>
      <w:r xml:space="preserve">
        <w:t> </w:t>
      </w:r>
      <w:r xml:space="preserve">
        <w:t> </w:t>
      </w:r>
      <w:r>
        <w:t xml:space="preserve">notify the applicant in writing that the application was denied:</w:t>
      </w:r>
    </w:p>
    <w:p w:rsidR="003F3435" w:rsidRDefault="0032493E">
      <w:pPr>
        <w:spacing w:line="480" w:lineRule="auto"/>
        <w:ind w:firstLine="2160"/>
        <w:jc w:val="both"/>
      </w:pPr>
      <w:r>
        <w:t xml:space="preserve">(A)</w:t>
      </w:r>
      <w:r xml:space="preserve">
        <w:t> </w:t>
      </w:r>
      <w:r xml:space="preserve">
        <w:t> </w:t>
      </w:r>
      <w:r>
        <w:t xml:space="preserve">on the grounds that the applicant failed to qualify under the criteria listed in Section 411.172;</w:t>
      </w:r>
    </w:p>
    <w:p w:rsidR="003F3435" w:rsidRDefault="0032493E">
      <w:pPr>
        <w:spacing w:line="480" w:lineRule="auto"/>
        <w:ind w:firstLine="2160"/>
        <w:jc w:val="both"/>
      </w:pPr>
      <w:r>
        <w:t xml:space="preserve">(B)</w:t>
      </w:r>
      <w:r xml:space="preserve">
        <w:t> </w:t>
      </w:r>
      <w:r xml:space="preserve">
        <w:t> </w:t>
      </w:r>
      <w:r>
        <w:t xml:space="preserve">based on the affidavit of the director's designee submitted to the department under Section 411.176(c); or</w:t>
      </w:r>
    </w:p>
    <w:p w:rsidR="003F3435" w:rsidRDefault="0032493E">
      <w:pPr>
        <w:spacing w:line="480" w:lineRule="auto"/>
        <w:ind w:firstLine="2160"/>
        <w:jc w:val="both"/>
      </w:pPr>
      <w:r>
        <w:t xml:space="preserve">(C)</w:t>
      </w:r>
      <w:r xml:space="preserve">
        <w:t> </w:t>
      </w:r>
      <w:r xml:space="preserve">
        <w:t> </w:t>
      </w:r>
      <w:r>
        <w:t xml:space="preserve">based on the affidavit of the qualified handgun instructor submitted to the department under Section 411.188(k); or</w:t>
      </w:r>
    </w:p>
    <w:p w:rsidR="003F3435" w:rsidRDefault="0032493E">
      <w:pPr>
        <w:spacing w:line="480" w:lineRule="auto"/>
        <w:ind w:firstLine="1440"/>
        <w:jc w:val="both"/>
      </w:pPr>
      <w:r>
        <w:t xml:space="preserve">(3)</w:t>
      </w:r>
      <w:r xml:space="preserve">
        <w:t> </w:t>
      </w:r>
      <w:r xml:space="preserve">
        <w:t> </w:t>
      </w:r>
      <w:r>
        <w:t xml:space="preserve">notify the applicant in writing that the department is unable to make a determination regarding the issuance or denial of a license to the applicant within the 60-day period prescribed by this subsection and include in that notification an explanation of the reason for the inability and an estimation of the amount of time the department will need to make the determination.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the applicant submits with the completed application materials a copy of an active protective order issued under Title 4, Family Code, or Chapter 7A, Code of Criminal Procedure, or an active magistrate's emergency order of protection under Article 17.292, Code of Criminal Procedure, that indicates that the applicant is protected by the order, the department shall, without charging a fee, expedite the application.  As soon as practicable after the receipt of the materials under this subsection,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the license;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applicant in writing that the application was denied: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 the grounds that the applicant failed to qualify under the criteria listed in Section 411.172;</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based on the affidavit of the director's designee submitted to the department under Section 411.176(c);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based on the affidavit of the qualified handgun instructor submitted to the department under Section 411.188(k).</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The director shall adopt policies for expedited processing under Subsection (b-1).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H, Chapter 411, Government Code, is amended by adding Section 411.1954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411.1954.</w:t>
      </w:r>
      <w:r>
        <w:rPr>
          <w:u w:val="single"/>
        </w:rPr>
        <w:t xml:space="preserve"> </w:t>
      </w:r>
      <w:r>
        <w:rPr>
          <w:u w:val="single"/>
        </w:rPr>
        <w:t xml:space="preserve"> </w:t>
      </w:r>
      <w:r>
        <w:rPr>
          <w:u w:val="single"/>
        </w:rPr>
        <w:t xml:space="preserve">WAIVER OF FEES FOR CERTAIN APPLICANTS WITH PROTECTIVE ORDER.  Notwithstanding any other provision of this subchapter, the department shall waive any fee required for the issuance of an original, duplicate, modified, or renewed license under this subchapter if the applicant submits to the department a copy of an active protective order issued under Title 4, Family Code, or Chapter 7A, Code of Criminal Procedure, or an active magistrate's emergency order of protection under Article 17.292, Code of Criminal Procedure, that indicates that the applicant is protected by the order.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411.177, Government Code, as amended by this Act, applies only to an application for a license to carry a handgun for which the completed application materials are received by the Department of Public Safety of the State of Texas on or after the effective date of this Act.  An application for a license to carry a handgun for which the completed application materials were received before the effective date of this Act is governed by the law in effect on the date the materials were received,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411.1954, Government Code, as added by this Act, applies only to an application for an original, duplicate, modified, or renewed license to carry a handgun submitted on or after the effective date of this Act.  An application submitted before the effective date of this Act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Department of Public Safety of the State of Texas is required to implement a provision of this Act only if the legislature appropriates money specifically for that purpose. </w:t>
      </w:r>
      <w:r>
        <w:t xml:space="preserve"> </w:t>
      </w:r>
      <w:r>
        <w:t xml:space="preserve">If the legislature does not appropriate money specifically for that purpose, the Department of Public Safety of the State of Texas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