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86R13993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aggregate production operations; requiring a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28A, Water Code, is amended to read as follows:</w:t>
      </w:r>
    </w:p>
    <w:p w:rsidR="003F3435" w:rsidRDefault="0032493E">
      <w:pPr>
        <w:spacing w:line="480" w:lineRule="auto"/>
        <w:jc w:val="center"/>
      </w:pPr>
      <w:r>
        <w:t xml:space="preserve">SUBCHAPTER B.  </w:t>
      </w:r>
      <w:r>
        <w:rPr>
          <w:u w:val="single"/>
        </w:rPr>
        <w:t xml:space="preserve">PERMIT</w:t>
      </w:r>
      <w:r>
        <w:t xml:space="preserve"> [</w:t>
      </w:r>
      <w:r>
        <w:rPr>
          <w:strike/>
        </w:rPr>
        <w:t xml:space="preserve">REGISTRATION</w:t>
      </w:r>
      <w:r>
        <w:t xml:space="preserve">] AND INSPECTION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28A, Water Code, is amended by adding Sections 28A.0525, 28A.0526, and 28A.0527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28A.0525.</w:t>
      </w:r>
      <w:r>
        <w:rPr>
          <w:u w:val="single"/>
        </w:rPr>
        <w:t xml:space="preserve"> </w:t>
      </w:r>
      <w:r>
        <w:rPr>
          <w:u w:val="single"/>
        </w:rPr>
        <w:t xml:space="preserve"> </w:t>
      </w:r>
      <w:r>
        <w:rPr>
          <w:u w:val="single"/>
        </w:rPr>
        <w:t xml:space="preserve">PERMIT REQUIRED.  (a)  A person may not begin or conduct extraction activities at an aggregate production operation unless the responsible party has obtained a standard permit for the aggregate production operation from the commission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standard permit for aggregate production operations;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an application for a standard permit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issuance of a standard permit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does not become a vested right in the permit holder.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may be issued under this section for a term set by the board not to exceed six years from the date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charge fees for the issuance of permits under this section in an amount sufficient to recover the costs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28A.0526.</w:t>
      </w:r>
      <w:r>
        <w:rPr>
          <w:u w:val="single"/>
        </w:rPr>
        <w:t xml:space="preserve"> </w:t>
      </w:r>
      <w:r>
        <w:rPr>
          <w:u w:val="single"/>
        </w:rPr>
        <w:t xml:space="preserve"> </w:t>
      </w:r>
      <w:r>
        <w:rPr>
          <w:u w:val="single"/>
        </w:rPr>
        <w:t xml:space="preserve">NOTICE AND HEARING.  (a)  Except as provided by Subsection (b), the notice and hearing provisions of Subchapter M, Chapter 5, Water Code, apply to an application under this section for a permit or a permit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hearing on an application for a permit or permit renewal issued under this section must be held in the municipality located closest to the proposed or existing aggregate production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28A.0527.</w:t>
      </w:r>
      <w:r>
        <w:rPr>
          <w:u w:val="single"/>
        </w:rPr>
        <w:t xml:space="preserve"> </w:t>
      </w:r>
      <w:r>
        <w:rPr>
          <w:u w:val="single"/>
        </w:rPr>
        <w:t xml:space="preserve"> </w:t>
      </w:r>
      <w:r>
        <w:rPr>
          <w:u w:val="single"/>
        </w:rPr>
        <w:t xml:space="preserve">CERTAIN LOCATIONS RESTRICTED.  (a) This section applies only to an aggregate production operation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Guadalupe River watershed according to the National Hydrography Dataset and the Watershed Boundary Dataset;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west of the Canyon Lake Dam.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aggregate production operation may not operate within 1500 feet of a navigable waterway.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permit to operate an aggregate production operation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satisfying criteria determined by the commission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slope gradients sufficient to minimize the potential for erosion and water quality degradation;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for significant damage to important historical and cultural values or ecological systems;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natural resources, including aquifers and aquifer recharge zones; </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agricultural activity;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areas subject to frequent flooding or geological events;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concerns relevant to the substantial endangerment of life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control of water drainage and accumulation that prevents erosion and damage to fish or wildlife habitat;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reclamation and revegetation of the quarried land consistent with best management practices adopted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sufficient financial assurance to cover the remediation of potential negative effects on the Guadalupe River and surrounding areas, as determined by commission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28A.053(a), Water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inspect each active </w:t>
      </w:r>
      <w:r>
        <w:rPr>
          <w:u w:val="single"/>
        </w:rPr>
        <w:t xml:space="preserve">permitted</w:t>
      </w:r>
      <w:r>
        <w:t xml:space="preserve"> aggregate production operation in this state for compliance with applicable </w:t>
      </w:r>
      <w:r>
        <w:rPr>
          <w:u w:val="single"/>
        </w:rPr>
        <w:t xml:space="preserve">permit conditions and</w:t>
      </w:r>
      <w:r>
        <w:t xml:space="preserve"> environmental laws and rules under the jurisdiction of the commission at least once every three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28A, Water Code, is amended to read as follows:</w:t>
      </w:r>
    </w:p>
    <w:p w:rsidR="003F3435" w:rsidRDefault="0032493E">
      <w:pPr>
        <w:spacing w:line="480" w:lineRule="auto"/>
        <w:jc w:val="center"/>
      </w:pPr>
      <w:r>
        <w:t xml:space="preserve">SUBCHAPTER C.  [</w:t>
      </w:r>
      <w:r>
        <w:rPr>
          <w:strike/>
        </w:rPr>
        <w:t xml:space="preserve">FEES AND</w:t>
      </w:r>
      <w:r>
        <w:t xml:space="preserve">] ENFORCEMENT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28A.102, Water Code, is amended to read as follows:</w:t>
      </w:r>
    </w:p>
    <w:p w:rsidR="003F3435" w:rsidRDefault="0032493E">
      <w:pPr>
        <w:spacing w:line="480" w:lineRule="auto"/>
        <w:ind w:firstLine="720"/>
        <w:jc w:val="both"/>
      </w:pPr>
      <w:r>
        <w:t xml:space="preserve">Sec.</w:t>
      </w:r>
      <w:r xml:space="preserve">
        <w:t> </w:t>
      </w:r>
      <w:r>
        <w:t xml:space="preserve">28A.102.</w:t>
      </w:r>
      <w:r xml:space="preserve">
        <w:t> </w:t>
      </w:r>
      <w:r xml:space="preserve">
        <w:t> </w:t>
      </w:r>
      <w:r>
        <w:t xml:space="preserve">PENALTY.  The commission may assess a penalty of not less than $5,000 and not more than $10,000 for each year in which an aggregate production operation operates without </w:t>
      </w:r>
      <w:r>
        <w:rPr>
          <w:u w:val="single"/>
        </w:rPr>
        <w:t xml:space="preserve">a permit issued</w:t>
      </w:r>
      <w:r>
        <w:t xml:space="preserve"> [</w:t>
      </w:r>
      <w:r>
        <w:rPr>
          <w:strike/>
        </w:rPr>
        <w:t xml:space="preserve">being registered</w:t>
      </w:r>
      <w:r>
        <w:t xml:space="preserve">] under this chapter. The total penalty under this section may not exceed $25,000 for an aggregate production operation that is operated in three or more years without </w:t>
      </w:r>
      <w:r>
        <w:rPr>
          <w:u w:val="single"/>
        </w:rPr>
        <w:t xml:space="preserve">a permit</w:t>
      </w:r>
      <w:r>
        <w:t xml:space="preserve"> [</w:t>
      </w:r>
      <w:r>
        <w:rPr>
          <w:strike/>
        </w:rPr>
        <w:t xml:space="preserve">being registered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28A.051;</w:t>
      </w:r>
    </w:p>
    <w:p w:rsidR="003F3435" w:rsidRDefault="0032493E">
      <w:pPr>
        <w:spacing w:line="480" w:lineRule="auto"/>
        <w:ind w:firstLine="1440"/>
        <w:jc w:val="both"/>
      </w:pPr>
      <w:r>
        <w:t xml:space="preserve">(2)</w:t>
      </w:r>
      <w:r xml:space="preserve">
        <w:t> </w:t>
      </w:r>
      <w:r xml:space="preserve">
        <w:t> </w:t>
      </w:r>
      <w:r>
        <w:t xml:space="preserve">Section 28A.052;</w:t>
      </w:r>
    </w:p>
    <w:p w:rsidR="003F3435" w:rsidRDefault="0032493E">
      <w:pPr>
        <w:spacing w:line="480" w:lineRule="auto"/>
        <w:ind w:firstLine="1440"/>
        <w:jc w:val="both"/>
      </w:pPr>
      <w:r>
        <w:t xml:space="preserve">(3)</w:t>
      </w:r>
      <w:r xml:space="preserve">
        <w:t> </w:t>
      </w:r>
      <w:r xml:space="preserve">
        <w:t> </w:t>
      </w:r>
      <w:r>
        <w:t xml:space="preserve">Section 28A.054; and</w:t>
      </w:r>
    </w:p>
    <w:p w:rsidR="003F3435" w:rsidRDefault="0032493E">
      <w:pPr>
        <w:spacing w:line="480" w:lineRule="auto"/>
        <w:ind w:firstLine="1440"/>
        <w:jc w:val="both"/>
      </w:pPr>
      <w:r>
        <w:t xml:space="preserve">(4)</w:t>
      </w:r>
      <w:r xml:space="preserve">
        <w:t> </w:t>
      </w:r>
      <w:r xml:space="preserve">
        <w:t> </w:t>
      </w:r>
      <w:r>
        <w:t xml:space="preserve">Section 28A.101.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March 1, 2020, the Texas Commission on Environmental Quality shall adopt rules to implement the changes in law made by this Act to Chapter 28A, Water Code.</w:t>
      </w:r>
    </w:p>
    <w:p w:rsidR="003F3435" w:rsidRDefault="0032493E">
      <w:pPr>
        <w:spacing w:line="480" w:lineRule="auto"/>
        <w:ind w:firstLine="720"/>
        <w:jc w:val="both"/>
      </w:pPr>
      <w:r>
        <w:t xml:space="preserve">(b)</w:t>
      </w:r>
      <w:r xml:space="preserve">
        <w:t> </w:t>
      </w:r>
      <w:r xml:space="preserve">
        <w:t> </w:t>
      </w:r>
      <w:r>
        <w:t xml:space="preserve">Notwithstanding Section 28A.0525, Water Code, as added by this Act, a person beginning extraction activities at an aggregate production operation on or after the effective date of this Act is not required to hold a permit required by that section for the extraction activities until September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aggregate production operation at which extraction activities begin on or after the effective date of this Act.  An aggregate production operation at which extraction activities began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