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1699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indecency with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21.11(b), Penal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three years older than the victim [</w:t>
      </w:r>
      <w:r>
        <w:rPr>
          <w:strike/>
        </w:rPr>
        <w:t xml:space="preserve">and of the opposite sex</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w:t>
      </w:r>
      <w:r>
        <w:rPr>
          <w:u w:val="single"/>
        </w:rPr>
        <w:t xml:space="preserve">, Code of Criminal Procedure,</w:t>
      </w:r>
      <w:r>
        <w:t xml:space="preserve"> had a reportable conviction or adjudication for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an offense committed on or after the effective date of this Act and to any criminal action pending on the effective date of this Act for an offense committed before that effective date. </w:t>
      </w:r>
      <w:r>
        <w:t xml:space="preserve"> </w:t>
      </w:r>
      <w:r>
        <w:t xml:space="preserve">A final conviction for an offense under Section 21.11, Penal Code,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