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86R10821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1701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unmanned aircraft over certain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423, Government Code, is amended by adding Section 423.0047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423.0047.</w:t>
      </w:r>
      <w:r>
        <w:rPr>
          <w:u w:val="single"/>
        </w:rPr>
        <w:t xml:space="preserve"> </w:t>
      </w:r>
      <w:r>
        <w:rPr>
          <w:u w:val="single"/>
        </w:rPr>
        <w:t xml:space="preserve"> </w:t>
      </w:r>
      <w:r>
        <w:rPr>
          <w:u w:val="single"/>
        </w:rPr>
        <w:t xml:space="preserve">OFFENSE: OPERATION OF UNMANNED AIRCRAFT OVER OR NEAR SCHOOL.  (a)  In this section, "school" means any instructional or noninstructional facility owned or operated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elementary or secondary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institution of higher education or a private or independent institution of higher education, as those terms are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intentionally or knowingly operates an unmanned aircraft over a school or within 1,000 feet of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conduct described by Subsection (b) that is committed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federal government, the state, or a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under contract with or otherwise acting under the direction or on behalf of the federal government, the state, or a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 that provides to a school prior notice of the agency's operation of an unmanned aircraft over or near the school;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under contract with or otherwise acting under the direction or on behalf of a law enforcement agency that provides prior notice as described by Subdivision (3);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operator of an unmanned aircraft that is being used for a commercial purpose, if the operation is conducted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applicable Federal Aviation Administration rule, restriction, or exemption;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required Federal Aviation Administration authorizations;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under contract with or otherwise acting under the direction or on behalf of the governing body of the school;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 has the prior written consent of the person who is primarily responsible for the security of the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B misdemeanor, except that the offense is a Class A misdemeanor if the actor has previously been convicted under this section or Section 423.0045 or 423.0046.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423.0045(d),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 except that the offense is a Class A misdemeanor if the actor has previously been convicted under this section or Section 423.0046 </w:t>
      </w:r>
      <w:r>
        <w:rPr>
          <w:u w:val="single"/>
        </w:rPr>
        <w:t xml:space="preserve">or 423.0047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423.0046(d),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 except that the offense is a Class A misdemeanor if the actor has previously been convicted under this section or Section 423.0045 </w:t>
      </w:r>
      <w:r>
        <w:rPr>
          <w:u w:val="single"/>
        </w:rPr>
        <w:t xml:space="preserve">or 423.0047</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