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Whitmire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1702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Criminal Justice;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6,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powers and duties of the office of independent ombudsman for the Texas Juvenile Justice Department.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261.101, Human Resources Code, is amended by adding Subsection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provision of this chapter, the powers of the office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inspection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facility operated by the department under Subtitle C;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post-adjudication secure correctional facility under Section 51.125, Family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nonsecure correctional facility under Section 51.126, Family Code;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residential facility in which a child adjudicated as having engaged in conduct indicating a need for supervision or delinquent conduct is placed by court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investigation of complaints alleging a violation of the rights of the children committed to or placed in a facility described by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Human Resources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 261.101(e), as added by Section 11(b), Chapter 854 (S.B. 1149), Acts of the 84th Legislature, Regular Session, 2015;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261.101(e), as amended by Chapter 962 (S.B. 1630), Acts of the 84th Legislature, Regular Session, 2015.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