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86R13834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1710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of the legalization of gambling on riverboats and boats operated on bays of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(a) </w:t>
      </w:r>
      <w:r>
        <w:t xml:space="preserve"> </w:t>
      </w:r>
      <w:r>
        <w:t xml:space="preserve">The Texas Lottery Commission shall study the legalization of gambling on riverboats and boats operated on bays of this state. </w:t>
      </w:r>
      <w:r>
        <w:t xml:space="preserve"> </w:t>
      </w:r>
      <w:r>
        <w:t xml:space="preserve">The study shall examine: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potential impact on state revenue of legalized gambling;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social implications of legalized gambling;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any other issue the commission determines relevant.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 later than December 31, 2020, the Texas Lottery Commission shall submit to the governor, the lieutenant governor, and the speaker of the house of representatives a report on the findings of the study.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