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86R13943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1711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study of the legalization of gambling in certain communities.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(a)  The Texas Lottery Commission shall study: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legalization of gambling in historical downtown areas of communities located not more than 20 miles from an international border;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potential impact the revenue from legalized gambling and a tax on legalized gambling would have if used for the restoration of historic buildings and infrastructure in an area described by Subdivision (1).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 later than December 31, 2020, the Texas Lottery Commission shall submit to the governor, the lieutenant governor, and the speaker of the house of representatives a report on the findings of the study.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1711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