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86R10918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1714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an applicant for a reciprocal license, certificate, or permit to practice barbering or cosmetology pass an examination;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1603.204(b),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person must:</w:t>
      </w:r>
    </w:p>
    <w:p w:rsidR="003F3435" w:rsidRDefault="0032493E">
      <w:pPr>
        <w:spacing w:line="480" w:lineRule="auto"/>
        <w:ind w:firstLine="1440"/>
        <w:jc w:val="both"/>
      </w:pPr>
      <w:r>
        <w:t xml:space="preserve">(1)</w:t>
      </w:r>
      <w:r xml:space="preserve">
        <w:t> </w:t>
      </w:r>
      <w:r xml:space="preserve">
        <w:t> </w:t>
      </w:r>
      <w:r>
        <w:t xml:space="preserve">submit an application for the license, certificate, or permit to the department;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pay fees in an amount prescribed by the commission, including any applicable license, certificate, [</w:t>
      </w:r>
      <w:r>
        <w:rPr>
          <w:strike/>
        </w:rPr>
        <w:t xml:space="preserve">or</w:t>
      </w:r>
      <w:r>
        <w:t xml:space="preserve">] permit</w:t>
      </w:r>
      <w:r>
        <w:rPr>
          <w:u w:val="single"/>
        </w:rPr>
        <w:t xml:space="preserve">, or examination</w:t>
      </w:r>
      <w:r>
        <w:t xml:space="preserve"> fee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 the applicable examination required for issuance of the license, certificate, or permit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December 1, 2019, the Texas Commission of Licensing and Regulation shall adopt rules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Section 1603.204(b), Occupations Code, as amended by this Act, applies only to an application for the issuance of a license, certificate, or permit submitted to the Texas Department of Licensing and Regulation on or after the effective date of this Act. </w:t>
      </w:r>
      <w:r>
        <w:t xml:space="preserve"> </w:t>
      </w:r>
      <w:r>
        <w:t xml:space="preserve">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