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86R11645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independent advisory committee to assess the state's long-term transportation infrastructure and mobility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INDEPENDENT INFRASTRUCTURE AND MOBILITY NEEDS ADVISORY COMMITTEE: 2020 to 2050.  (a)  The commission shall appoint an advisory committee to develop an independent assessment of the state's transportation infrastructure and mobility needs for the years 2020 to 2050, including assessments of needs in the areas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pavement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bridge maintenance;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urban mobility;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mobility and safety;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nonhighway modes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to the advisory committee members to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diverse geographic regions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diverse industries affected by transportation infrastructure and mobility issues;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diverse transportation sectors.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receive public input from residents of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public hearings in locations across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comments through an Internet website, by mail, and by other methods, if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2020, the advisory committee shall report the findings of the study and any recommendations to the commission and to the members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is abolished and 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