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86R354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a permit by certain port authorities for the operation and movement of oversize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623.212,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623.212.</w:t>
      </w:r>
      <w:r xml:space="preserve">
        <w:t> </w:t>
      </w:r>
      <w:r xml:space="preserve">
        <w:t> </w:t>
      </w:r>
      <w:r>
        <w:t xml:space="preserve">PERMITS BY PORT AUTHORITY.  </w:t>
      </w: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The commission may authorize a port authority to issue permits for the movement of oversize or overweight vehicles carrying cargo on state highways located in counties: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contiguous to the Gulf of Mexico or a bay or inlet opening into the gulf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adjacent to at least two counties with a population of 550,000 or more;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bordering the United Mexican States;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contiguous to the Gulf of Mexico or a bay or inlet opening into the gulf with a population of not more than 200,000 and adjacent to a county described by Subdivision (1)(A).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permit issued under this subchapter may authorize the movement of a combination of vehicles that exceed the maximum length allowed by other law to be transported over a state highway only if the combination: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uses only the routes designated under Section 623.219;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carrying cargo across an international border.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port authority may not issue a permit under this section unless the combination of vehicles may be operated without material damage to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