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threshold contract amount at which a county is required to engage in a competitive purchasing procedure for certain purchases.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$50,000</w:t>
      </w:r>
      <w:r>
        <w:t xml:space="preserve"> [</w:t>
      </w:r>
      <w:r>
        <w:rPr>
          <w:strike/>
        </w:rPr>
        <w:t xml:space="preserve">$25,000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$50,000</w:t>
      </w:r>
      <w:r>
        <w:t xml:space="preserve"> [</w:t>
      </w:r>
      <w:r>
        <w:rPr>
          <w:strike/>
        </w:rPr>
        <w:t xml:space="preserve">$25,000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commenced on or after September 1, 2019.  A purchase for which competitive bids are advertised before September 1, 2019, is governed by the law in effect on the date the bids were advertised,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1720 passed the Senate on April 26, 2019, by the following vote:</w:t>
      </w:r>
      <w:r xml:space="preserve">
        <w:t> </w:t>
      </w:r>
      <w:r xml:space="preserve">
        <w:t> </w:t>
      </w:r>
      <w:r>
        <w:t xml:space="preserve">Yeas</w:t>
      </w:r>
      <w:r xml:space="preserve">
        <w:t> </w:t>
      </w:r>
      <w:r>
        <w:t xml:space="preserve">28,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1720 passed the House on May 14, 2019, by the following vote:</w:t>
      </w:r>
      <w:r xml:space="preserve">
        <w:t> </w:t>
      </w:r>
      <w:r xml:space="preserve">
        <w:t> </w:t>
      </w:r>
      <w:r>
        <w:t xml:space="preserve">Yeas</w:t>
      </w:r>
      <w:r xml:space="preserve">
        <w:t> </w:t>
      </w:r>
      <w:r>
        <w:t xml:space="preserve">126, Nays</w:t>
      </w:r>
      <w:r xml:space="preserve">
        <w:t> </w:t>
      </w:r>
      <w:r>
        <w:t xml:space="preserve">15,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