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86R3671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threshold contract amount at which a county is required to engage in a competitive purchasing procedure for certain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252.312(b)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county road engineer so recommends and the commissioners court considers it to be in the best interest of the county, a purchase in an amount of </w:t>
      </w:r>
      <w:r>
        <w:rPr>
          <w:u w:val="single"/>
        </w:rPr>
        <w:t xml:space="preserve">$50,000</w:t>
      </w:r>
      <w:r>
        <w:t xml:space="preserve"> [</w:t>
      </w:r>
      <w:r>
        <w:rPr>
          <w:strike/>
        </w:rPr>
        <w:t xml:space="preserve">$25,000</w:t>
      </w:r>
      <w:r>
        <w:t xml:space="preserve">] or less may be made through negotiation by the commissioners court or the court's authorized representative on requisition to be approved by the commissioners court or the county auditor without advertising for competitive bids.</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on a purchase that would otherwise cost more than </w:t>
      </w:r>
      <w:r>
        <w:rPr>
          <w:u w:val="single"/>
        </w:rPr>
        <w:t xml:space="preserve">$50,000</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purchase commenced on or after September 1, 2019.  A purchase for which competitive bids are advertised before September 1, 2019, is governed by the law in effect on the date the bids were advertised,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