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86R3080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1729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offense of aggravated kidnapping;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20.04, Penal Code, is amended by adding Subsections (b-1) and (b-2)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person commits an offense if the person intentionally or knowingly abducts a child younger than 18 years of age.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It is an affirmative defense to prosecution under Subsection (b-1)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abduction was not coupled with intent to use or to threaten to use deadly force;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was a relative of the victim;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actor's sole intent was to assume lawful control of the victim.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