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86R4996 AAF-D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Paxton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1733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financial reporting requirements for toll projects.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372, Transportation Code, is amended by adding Section 372.054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372.054.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FINANCIAL REPORTING REQUIREMENTS FOR TOLL PROJECTS.  Not later than December 31 of each year, a toll project entity shall publish on the entity's Internet website a report on the entity's annual financial data, including toll revenue, operational expenses, and outstanding debt, for each toll project acquired, designed, constructed, operated, or maintained by the entity.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1733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