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dissolution of a non-profit direct-support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54.633, Education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comptroller determines that the purpose of a direct-support organization established under Subsection (e) has been substantially complied with, the comptroller may dissolve the organization. </w:t>
      </w:r>
      <w:r>
        <w:rPr>
          <w:u w:val="single"/>
        </w:rPr>
        <w:t xml:space="preserve"> </w:t>
      </w:r>
      <w:r>
        <w:rPr>
          <w:u w:val="single"/>
        </w:rPr>
        <w:t xml:space="preserve">On dissolution, the title to all funds and properties then owned by the organization shall transfer to the Texas Match the Promise Foundation.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