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1734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dissolution of a non-profit direct-support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54.633, Education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the comptroller determines that the purpose of a direct-support organization established under Subsection (e) has been substantially complied with, the comptroller may dissolve the organization. On dissolution, the title to all funds and properties then owned by the organization shall transfer to the Texas Match the Promise Foundation.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