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86R5527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providing services to certain children under the Medicaid medical transportation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531.024141.</w:t>
      </w:r>
      <w:r>
        <w:rPr>
          <w:u w:val="single"/>
        </w:rPr>
        <w:t xml:space="preserve"> </w:t>
      </w:r>
      <w:r>
        <w:rPr>
          <w:u w:val="single"/>
        </w:rPr>
        <w:t xml:space="preserve"> </w:t>
      </w:r>
      <w:r>
        <w:rPr>
          <w:u w:val="single"/>
        </w:rPr>
        <w:t xml:space="preserve">PILOT PROGRAM FOR PROVIDING MEDICAL TRANSPORTATION PROGRAM SERVICES TO CHILDREN ACCOMPANYING PREGNANT MOTHERS.  (a)  The commission shall develop and implement a pilot program to enable an eligible child described by Subsection (b) to receive medical transportation program services and to provide reimbursement for those services in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access to prenatal and postpartum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pregnancy-related complications;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 health outcomes for pregnant women and infants;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reduce the maternal mortality and morbidity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is eligible for inclusion in the pilot program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child's mother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recipient of Medicaid during a pregnancy;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medical transportation program services to travel to and from a covered health care service related to the pregnancy, including postpartum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the child is also a recipient of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shall be implemented in more than one health care service region.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with the assistance of the Maternal Mortality and Morbidity Task Force established under Chapter 34, Health and Safety Code, shall evaluate the results of the pilot program and determine whether the program is effective in increasing access to prenatal and postpartum care, reducing pregnancy-related complications, improving health outcomes for pregnant women and their newborn children, and reducing the maternal mortality and morbidity rate.  The evaluation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outcomes of the pregnant women whose children participated in the pilot program and of the women's newborn children;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overall health and pregnancy outcomes and trends in this state during the period of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2021, the commission shall report to the legislature on the results of the pilot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commission's evaluation under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on costs under the medical transportation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